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435384F7"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F1399A">
        <w:t xml:space="preserve"> 2022</w:t>
      </w:r>
      <w:r w:rsidR="00CC1A29">
        <w:t>-23</w:t>
      </w:r>
    </w:p>
    <w:p w14:paraId="2A7D54B2" w14:textId="5136C203"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CC1A29">
        <w:rPr>
          <w:b w:val="0"/>
          <w:bCs/>
          <w:color w:val="auto"/>
          <w:sz w:val="24"/>
          <w:szCs w:val="24"/>
        </w:rPr>
        <w:t>2</w:t>
      </w:r>
      <w:r>
        <w:rPr>
          <w:b w:val="0"/>
          <w:bCs/>
          <w:color w:val="auto"/>
          <w:sz w:val="24"/>
          <w:szCs w:val="24"/>
        </w:rPr>
        <w:t xml:space="preserve"> to 202</w:t>
      </w:r>
      <w:r w:rsidR="00CC1A29">
        <w:rPr>
          <w:b w:val="0"/>
          <w:bCs/>
          <w:color w:val="auto"/>
          <w:sz w:val="24"/>
          <w:szCs w:val="24"/>
        </w:rPr>
        <w:t>3</w:t>
      </w:r>
      <w:r>
        <w:rPr>
          <w:b w:val="0"/>
          <w:bCs/>
          <w:color w:val="auto"/>
          <w:sz w:val="24"/>
          <w:szCs w:val="24"/>
        </w:rPr>
        <w:t xml:space="preserve"> academic year) funding to help improve the attainment of our disadvantaged pupils. </w:t>
      </w:r>
    </w:p>
    <w:p w14:paraId="2A7D54B3" w14:textId="77777777" w:rsidR="00E66558" w:rsidRPr="00F1399A" w:rsidRDefault="009D71E8" w:rsidP="00F1399A">
      <w:pPr>
        <w:pStyle w:val="Heading2"/>
        <w:spacing w:before="240" w:after="0"/>
        <w:rPr>
          <w:b w:val="0"/>
          <w:bCs/>
          <w:color w:val="auto"/>
          <w:sz w:val="20"/>
          <w:szCs w:val="20"/>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7242DD2E" w:rsidR="00E66558" w:rsidRDefault="008D516A">
            <w:pPr>
              <w:pStyle w:val="TableRow"/>
            </w:pPr>
            <w:r>
              <w:t>North East Derbyshire Support Centre</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B4B09A5" w:rsidR="00E66558" w:rsidRDefault="00F1399A">
            <w:pPr>
              <w:pStyle w:val="TableRow"/>
            </w:pPr>
            <w:r>
              <w:t>100</w:t>
            </w:r>
            <w:r w:rsidR="00A744DE">
              <w:t xml:space="preserve"> (PAN)</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607C560" w:rsidR="00E66558" w:rsidRDefault="002F6F1F">
            <w:pPr>
              <w:pStyle w:val="TableRow"/>
            </w:pPr>
            <w:r>
              <w:t>66</w:t>
            </w:r>
            <w:r w:rsidR="008D516A">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003D23F3" w:rsidR="00E66558" w:rsidRDefault="009D71E8">
            <w:pPr>
              <w:pStyle w:val="TableRow"/>
            </w:pPr>
            <w:r>
              <w:rPr>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1343273E" w:rsidR="00E66558" w:rsidRDefault="00F1399A">
            <w:pPr>
              <w:pStyle w:val="TableRow"/>
            </w:pPr>
            <w:r>
              <w:t>2022</w:t>
            </w:r>
            <w:r w:rsidR="002F6F1F">
              <w:t>-23</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5B80ED8" w:rsidR="00E66558" w:rsidRDefault="00F1399A">
            <w:pPr>
              <w:pStyle w:val="TableRow"/>
            </w:pPr>
            <w:r>
              <w:t>September 202</w:t>
            </w:r>
            <w:r w:rsidR="002F6F1F">
              <w:t>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C5F870D" w:rsidR="00E66558" w:rsidRDefault="00F1399A">
            <w:pPr>
              <w:pStyle w:val="TableRow"/>
            </w:pPr>
            <w:r>
              <w:t>September 202</w:t>
            </w:r>
            <w:r w:rsidR="002F6F1F">
              <w:t>3</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1B249E96" w:rsidR="00E66558" w:rsidRDefault="002F6F1F">
            <w:pPr>
              <w:pStyle w:val="TableRow"/>
            </w:pPr>
            <w:r>
              <w:t>Janine Dix</w:t>
            </w:r>
            <w:r w:rsidR="00051A44">
              <w:t xml:space="preserve"> </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34F11ED" w:rsidR="00E66558" w:rsidRDefault="002F6F1F">
            <w:pPr>
              <w:pStyle w:val="TableRow"/>
            </w:pPr>
            <w:r>
              <w:t>Janine Dix</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59A271C" w:rsidR="00E66558" w:rsidRDefault="00D6289B">
            <w:pPr>
              <w:pStyle w:val="TableRow"/>
            </w:pPr>
            <w:r>
              <w:t>Esteem MAT Trustees</w:t>
            </w:r>
          </w:p>
        </w:tc>
      </w:tr>
      <w:bookmarkEnd w:id="2"/>
      <w:bookmarkEnd w:id="3"/>
      <w:bookmarkEnd w:id="4"/>
    </w:tbl>
    <w:p w14:paraId="58A256EA" w14:textId="77777777" w:rsidR="00595CC3" w:rsidRPr="00595CC3" w:rsidRDefault="00595CC3" w:rsidP="00595CC3">
      <w:pPr>
        <w:spacing w:line="240" w:lineRule="auto"/>
        <w:rPr>
          <w:b/>
          <w:color w:val="104F75"/>
          <w:sz w:val="2"/>
          <w:szCs w:val="2"/>
        </w:rPr>
      </w:pPr>
    </w:p>
    <w:p w14:paraId="2A7D54D3" w14:textId="2A109149" w:rsidR="00E66558" w:rsidRDefault="009D71E8" w:rsidP="00595CC3">
      <w:pPr>
        <w:spacing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A788951" w:rsidR="00E66558" w:rsidRDefault="009D71E8">
            <w:pPr>
              <w:pStyle w:val="TableRow"/>
            </w:pPr>
            <w:r>
              <w:t>£</w:t>
            </w:r>
            <w:r w:rsidR="00DD425D">
              <w:t>5</w:t>
            </w:r>
            <w:r w:rsidR="00967149">
              <w:t>0,137.50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03FEDDE" w:rsidR="00E66558" w:rsidRDefault="009D71E8">
            <w:pPr>
              <w:pStyle w:val="TableRow"/>
            </w:pPr>
            <w:r>
              <w:t>£</w:t>
            </w:r>
            <w:r w:rsidR="00607D1E">
              <w:t>29,000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B0CC319" w:rsidR="00E66558" w:rsidRDefault="009D71E8">
            <w:pPr>
              <w:pStyle w:val="TableRow"/>
            </w:pPr>
            <w:r>
              <w:t>£</w:t>
            </w:r>
            <w:r w:rsidR="00DD425D">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84244" w14:textId="06407AD4" w:rsidR="00E66558" w:rsidRDefault="009D71E8">
            <w:pPr>
              <w:pStyle w:val="TableRow"/>
            </w:pPr>
            <w:r>
              <w:t>£</w:t>
            </w:r>
            <w:r w:rsidR="00440A65">
              <w:t>79,137.50</w:t>
            </w:r>
          </w:p>
          <w:p w14:paraId="2A7D54E2" w14:textId="53A550D3" w:rsidR="005130F3" w:rsidRDefault="005130F3" w:rsidP="005130F3">
            <w:pPr>
              <w:pStyle w:val="TableRow"/>
              <w:ind w:left="0"/>
            </w:pP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AD97B" w14:textId="77777777" w:rsidR="008D516A" w:rsidRDefault="008D516A" w:rsidP="008D516A">
            <w:pPr>
              <w:pStyle w:val="ListParagraph"/>
              <w:numPr>
                <w:ilvl w:val="0"/>
                <w:numId w:val="0"/>
              </w:numPr>
              <w:ind w:left="720"/>
              <w:rPr>
                <w:i/>
                <w:iCs/>
              </w:rPr>
            </w:pPr>
          </w:p>
          <w:p w14:paraId="52535A2E" w14:textId="77777777" w:rsidR="00DD425D" w:rsidRDefault="008D516A" w:rsidP="00DD425D">
            <w:pPr>
              <w:pStyle w:val="ListParagraph"/>
              <w:numPr>
                <w:ilvl w:val="0"/>
                <w:numId w:val="13"/>
              </w:numPr>
              <w:rPr>
                <w:i/>
                <w:iCs/>
              </w:rPr>
            </w:pPr>
            <w:r>
              <w:rPr>
                <w:i/>
                <w:iCs/>
              </w:rPr>
              <w:t>Key principle of equality of opportunity for disadvantaged pupils, throughout the curriculum</w:t>
            </w:r>
            <w:r w:rsidR="00DD425D">
              <w:rPr>
                <w:i/>
                <w:iCs/>
              </w:rPr>
              <w:t>, ensuring:</w:t>
            </w:r>
          </w:p>
          <w:p w14:paraId="1FD530BF" w14:textId="392818FC" w:rsidR="008D516A" w:rsidRPr="00DD425D" w:rsidRDefault="008D516A" w:rsidP="00DD425D">
            <w:pPr>
              <w:pStyle w:val="ListParagraph"/>
              <w:numPr>
                <w:ilvl w:val="1"/>
                <w:numId w:val="13"/>
              </w:numPr>
              <w:rPr>
                <w:i/>
                <w:iCs/>
              </w:rPr>
            </w:pPr>
            <w:r w:rsidRPr="00DD425D">
              <w:rPr>
                <w:i/>
                <w:iCs/>
              </w:rPr>
              <w:t>that pupil premium funding helps disadvantaged pupils to access a suitable curriculum, with opportunities for progress relative to their starting points</w:t>
            </w:r>
            <w:r w:rsidR="00CE3632" w:rsidRPr="00DD425D">
              <w:rPr>
                <w:i/>
                <w:iCs/>
              </w:rPr>
              <w:t>, AND</w:t>
            </w:r>
          </w:p>
          <w:p w14:paraId="20B27AD4" w14:textId="60243D02" w:rsidR="00CE3632" w:rsidRDefault="00DD425D" w:rsidP="00DD425D">
            <w:pPr>
              <w:pStyle w:val="ListParagraph"/>
              <w:numPr>
                <w:ilvl w:val="1"/>
                <w:numId w:val="13"/>
              </w:numPr>
              <w:rPr>
                <w:i/>
                <w:iCs/>
              </w:rPr>
            </w:pPr>
            <w:r>
              <w:rPr>
                <w:i/>
                <w:iCs/>
              </w:rPr>
              <w:t>t</w:t>
            </w:r>
            <w:r w:rsidR="00CE3632">
              <w:rPr>
                <w:i/>
                <w:iCs/>
              </w:rPr>
              <w:t>hat the curriculum prepares pupils for the next stage of transition, this could be a return to mainstream, a new curriculum pathway or a positive post-16 destination</w:t>
            </w:r>
            <w:r>
              <w:rPr>
                <w:i/>
                <w:iCs/>
              </w:rPr>
              <w:t>, AND</w:t>
            </w:r>
          </w:p>
          <w:p w14:paraId="71FF02BC" w14:textId="43563B76" w:rsidR="00DD425D" w:rsidRDefault="00DD425D" w:rsidP="00DD425D">
            <w:pPr>
              <w:pStyle w:val="ListParagraph"/>
              <w:numPr>
                <w:ilvl w:val="1"/>
                <w:numId w:val="13"/>
              </w:numPr>
              <w:rPr>
                <w:i/>
                <w:iCs/>
              </w:rPr>
            </w:pPr>
            <w:r>
              <w:rPr>
                <w:i/>
                <w:iCs/>
              </w:rPr>
              <w:t>that pupils have secured the age-expected numeracy and literacy skills when they reach key transition points</w:t>
            </w:r>
          </w:p>
          <w:p w14:paraId="063DBB96" w14:textId="0096157F" w:rsidR="008D516A" w:rsidRDefault="008D516A">
            <w:pPr>
              <w:pStyle w:val="ListParagraph"/>
              <w:numPr>
                <w:ilvl w:val="0"/>
                <w:numId w:val="13"/>
              </w:numPr>
              <w:rPr>
                <w:i/>
                <w:iCs/>
              </w:rPr>
            </w:pPr>
            <w:r>
              <w:rPr>
                <w:i/>
                <w:iCs/>
              </w:rPr>
              <w:t>Fundamentally</w:t>
            </w:r>
            <w:r w:rsidR="00595CC3">
              <w:rPr>
                <w:i/>
                <w:iCs/>
              </w:rPr>
              <w:t>,</w:t>
            </w:r>
            <w:r>
              <w:rPr>
                <w:i/>
                <w:iCs/>
              </w:rPr>
              <w:t xml:space="preserve"> to </w:t>
            </w:r>
            <w:r w:rsidR="00601563">
              <w:rPr>
                <w:i/>
                <w:iCs/>
              </w:rPr>
              <w:t>further improve outcomes in English, and with respect to reading and spelling ages</w:t>
            </w:r>
          </w:p>
          <w:p w14:paraId="2A7D54E9" w14:textId="01511025" w:rsidR="00595CC3" w:rsidRDefault="00595CC3">
            <w:pPr>
              <w:pStyle w:val="ListParagraph"/>
              <w:numPr>
                <w:ilvl w:val="0"/>
                <w:numId w:val="13"/>
              </w:numPr>
              <w:rPr>
                <w:i/>
                <w:iCs/>
              </w:rPr>
            </w:pPr>
            <w:r>
              <w:rPr>
                <w:i/>
                <w:iCs/>
              </w:rPr>
              <w:t>To provide a wider skillset, helping young people to develop their social and communication skills</w:t>
            </w:r>
          </w:p>
        </w:tc>
      </w:tr>
    </w:tbl>
    <w:p w14:paraId="2E3A6F6F" w14:textId="77777777" w:rsidR="00595CC3" w:rsidRPr="00595CC3" w:rsidRDefault="00595CC3" w:rsidP="00595CC3">
      <w:pPr>
        <w:pStyle w:val="Heading2"/>
        <w:spacing w:before="0"/>
        <w:rPr>
          <w:sz w:val="2"/>
          <w:szCs w:val="2"/>
        </w:rPr>
      </w:pPr>
    </w:p>
    <w:p w14:paraId="2A7D54EB" w14:textId="25EA7294" w:rsidR="00E66558" w:rsidRDefault="009D71E8" w:rsidP="00595CC3">
      <w:pPr>
        <w:pStyle w:val="Heading2"/>
        <w:spacing w:before="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79FE7907" w:rsidR="00E66558" w:rsidRPr="008D516A" w:rsidRDefault="008D516A">
            <w:pPr>
              <w:pStyle w:val="TableRowCentered"/>
              <w:jc w:val="left"/>
            </w:pPr>
            <w:r w:rsidRPr="008D516A">
              <w:rPr>
                <w:sz w:val="22"/>
                <w:szCs w:val="22"/>
              </w:rPr>
              <w:t>Progress in English</w:t>
            </w:r>
            <w:r w:rsidR="00BC114E">
              <w:rPr>
                <w:sz w:val="22"/>
                <w:szCs w:val="22"/>
              </w:rPr>
              <w:t xml:space="preserve"> and Maths </w:t>
            </w:r>
            <w:r w:rsidR="00062D03">
              <w:rPr>
                <w:sz w:val="22"/>
                <w:szCs w:val="22"/>
              </w:rPr>
              <w:t>- PP pupils to achieve expected grades in line with their peers</w:t>
            </w:r>
            <w:r>
              <w:rPr>
                <w:sz w:val="22"/>
                <w:szCs w:val="22"/>
              </w:rPr>
              <w:t xml:space="preserve"> </w:t>
            </w:r>
            <w:r w:rsidR="00601563">
              <w:rPr>
                <w:sz w:val="22"/>
                <w:szCs w:val="22"/>
              </w:rPr>
              <w:t xml:space="preserve">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DDAC7CF" w:rsidR="00E66558" w:rsidRDefault="008D516A">
            <w:pPr>
              <w:pStyle w:val="TableRowCentered"/>
              <w:jc w:val="left"/>
              <w:rPr>
                <w:sz w:val="22"/>
                <w:szCs w:val="22"/>
              </w:rPr>
            </w:pPr>
            <w:r>
              <w:rPr>
                <w:sz w:val="22"/>
                <w:szCs w:val="22"/>
              </w:rPr>
              <w:t>Low reading and spelling ages on entry</w:t>
            </w:r>
            <w:r w:rsidR="00601563">
              <w:rPr>
                <w:sz w:val="22"/>
                <w:szCs w:val="22"/>
              </w:rPr>
              <w:t>, owing to gaps attributed to permanent exclusion</w:t>
            </w:r>
            <w:r w:rsidR="00062D03">
              <w:rPr>
                <w:sz w:val="22"/>
                <w:szCs w:val="22"/>
              </w:rPr>
              <w:t xml:space="preserve"> and</w:t>
            </w:r>
            <w:r w:rsidR="00601563">
              <w:rPr>
                <w:sz w:val="22"/>
                <w:szCs w:val="22"/>
              </w:rPr>
              <w:t xml:space="preserve"> a lack of</w:t>
            </w:r>
            <w:r w:rsidR="00062D03">
              <w:rPr>
                <w:sz w:val="22"/>
                <w:szCs w:val="22"/>
              </w:rPr>
              <w:t xml:space="preserve"> previous</w:t>
            </w:r>
            <w:r w:rsidR="00601563">
              <w:rPr>
                <w:sz w:val="22"/>
                <w:szCs w:val="22"/>
              </w:rPr>
              <w:t xml:space="preserve"> engagement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B2CEB" w14:textId="77777777" w:rsidR="00E66558" w:rsidRDefault="003725B4">
            <w:pPr>
              <w:pStyle w:val="TableRowCentered"/>
              <w:jc w:val="left"/>
              <w:rPr>
                <w:color w:val="auto"/>
                <w:sz w:val="22"/>
                <w:szCs w:val="22"/>
              </w:rPr>
            </w:pPr>
            <w:r>
              <w:rPr>
                <w:color w:val="auto"/>
                <w:sz w:val="22"/>
                <w:szCs w:val="22"/>
              </w:rPr>
              <w:t>Engagement</w:t>
            </w:r>
            <w:r w:rsidR="00DB2CDB">
              <w:rPr>
                <w:color w:val="auto"/>
                <w:sz w:val="22"/>
                <w:szCs w:val="22"/>
              </w:rPr>
              <w:t xml:space="preserve"> and academic gaps for pupils</w:t>
            </w:r>
            <w:r>
              <w:rPr>
                <w:color w:val="auto"/>
                <w:sz w:val="22"/>
                <w:szCs w:val="22"/>
              </w:rPr>
              <w:t xml:space="preserve"> following permanent exclusion</w:t>
            </w:r>
          </w:p>
          <w:p w14:paraId="2A7D54F7" w14:textId="74443D28" w:rsidR="00E563AF" w:rsidRDefault="00E563AF">
            <w:pPr>
              <w:pStyle w:val="TableRowCentered"/>
              <w:jc w:val="left"/>
              <w:rPr>
                <w:sz w:val="22"/>
                <w:szCs w:val="22"/>
              </w:rPr>
            </w:pPr>
          </w:p>
        </w:tc>
      </w:tr>
      <w:tr w:rsidR="00DD425D" w14:paraId="451F038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017EE" w14:textId="7D3F7713" w:rsidR="00DD425D" w:rsidRDefault="00DB2CDB" w:rsidP="00DB2CDB">
            <w:pPr>
              <w:pStyle w:val="TableRow"/>
              <w:ind w:left="0"/>
              <w:rPr>
                <w:sz w:val="22"/>
                <w:szCs w:val="22"/>
              </w:rPr>
            </w:pPr>
            <w:r>
              <w:rPr>
                <w:sz w:val="22"/>
                <w:szCs w:val="22"/>
              </w:rPr>
              <w:t xml:space="preserve"> 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3018B" w14:textId="03EFF837" w:rsidR="00DD425D" w:rsidRDefault="00DD425D">
            <w:pPr>
              <w:pStyle w:val="TableRowCentered"/>
              <w:jc w:val="left"/>
              <w:rPr>
                <w:iCs/>
                <w:sz w:val="22"/>
              </w:rPr>
            </w:pPr>
            <w:r>
              <w:rPr>
                <w:iCs/>
                <w:sz w:val="22"/>
              </w:rPr>
              <w:t>Equality of access owing to personal and family circumstances, including access to appropriate clothing and resources for school</w:t>
            </w:r>
          </w:p>
        </w:tc>
      </w:tr>
      <w:tr w:rsidR="00E563AF" w14:paraId="4A3AC2F1"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043AD" w14:textId="623B84D2" w:rsidR="00E563AF" w:rsidRDefault="00E563AF" w:rsidP="00DB2CDB">
            <w:pPr>
              <w:pStyle w:val="TableRow"/>
              <w:ind w:left="0"/>
              <w:rPr>
                <w:sz w:val="22"/>
                <w:szCs w:val="22"/>
              </w:rPr>
            </w:pPr>
            <w:r>
              <w:rPr>
                <w:sz w:val="22"/>
                <w:szCs w:val="22"/>
              </w:rPr>
              <w:t xml:space="preserve"> 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95B99" w14:textId="77777777" w:rsidR="00E563AF" w:rsidRDefault="00072BD3">
            <w:pPr>
              <w:pStyle w:val="TableRowCentered"/>
              <w:jc w:val="left"/>
              <w:rPr>
                <w:iCs/>
                <w:sz w:val="22"/>
              </w:rPr>
            </w:pPr>
            <w:r>
              <w:rPr>
                <w:iCs/>
                <w:sz w:val="22"/>
              </w:rPr>
              <w:t>Poor historical attendance</w:t>
            </w:r>
            <w:r w:rsidR="007345D7">
              <w:rPr>
                <w:iCs/>
                <w:sz w:val="22"/>
              </w:rPr>
              <w:t xml:space="preserve"> and low starting points</w:t>
            </w:r>
          </w:p>
          <w:p w14:paraId="46912B66" w14:textId="1EA3AB25" w:rsidR="007345D7" w:rsidRDefault="007345D7">
            <w:pPr>
              <w:pStyle w:val="TableRowCentered"/>
              <w:jc w:val="left"/>
              <w:rPr>
                <w:iCs/>
                <w:sz w:val="22"/>
              </w:rPr>
            </w:pP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6AB94FE9" w:rsidR="00E66558" w:rsidRDefault="00E563AF">
            <w:pPr>
              <w:pStyle w:val="TableRow"/>
              <w:rPr>
                <w:sz w:val="22"/>
                <w:szCs w:val="22"/>
              </w:rPr>
            </w:pPr>
            <w:bookmarkStart w:id="16" w:name="_Toc443397160"/>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A13BF" w14:textId="2E03EA72" w:rsidR="00E66558" w:rsidRDefault="00CE3632">
            <w:pPr>
              <w:pStyle w:val="TableRowCentered"/>
              <w:jc w:val="left"/>
              <w:rPr>
                <w:iCs/>
                <w:sz w:val="22"/>
              </w:rPr>
            </w:pPr>
            <w:r>
              <w:rPr>
                <w:iCs/>
                <w:sz w:val="22"/>
              </w:rPr>
              <w:t>Providing support of LAC pupil</w:t>
            </w:r>
            <w:r w:rsidR="00950AFC">
              <w:rPr>
                <w:iCs/>
                <w:sz w:val="22"/>
              </w:rPr>
              <w:t>s to maintain consistency with frequent home moves</w:t>
            </w:r>
          </w:p>
          <w:p w14:paraId="2A7D54FD" w14:textId="000CD3E8" w:rsidR="00E563AF" w:rsidRDefault="00E563AF">
            <w:pPr>
              <w:pStyle w:val="TableRowCentered"/>
              <w:jc w:val="left"/>
              <w:rPr>
                <w:iCs/>
                <w:sz w:val="22"/>
              </w:rPr>
            </w:pPr>
          </w:p>
        </w:tc>
      </w:tr>
      <w:tr w:rsidR="002B3623" w14:paraId="5A958343"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97FCE" w14:textId="77777777" w:rsidR="002B3623" w:rsidRDefault="002B3623">
            <w:pPr>
              <w:pStyle w:val="TableRow"/>
              <w:rPr>
                <w:sz w:val="22"/>
                <w:szCs w:val="22"/>
              </w:rPr>
            </w:pPr>
            <w:r>
              <w:rPr>
                <w:sz w:val="22"/>
                <w:szCs w:val="22"/>
              </w:rPr>
              <w:t>7</w:t>
            </w:r>
          </w:p>
          <w:p w14:paraId="49736C9E" w14:textId="1690E2CD" w:rsidR="002B3623" w:rsidRDefault="002B3623">
            <w:pPr>
              <w:pStyle w:val="TableRow"/>
              <w:rPr>
                <w:sz w:val="22"/>
                <w:szCs w:val="22"/>
              </w:rPr>
            </w:pP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AC8C8" w14:textId="07EC1A0A" w:rsidR="002B3623" w:rsidRDefault="008B4179">
            <w:pPr>
              <w:pStyle w:val="TableRowCentered"/>
              <w:jc w:val="left"/>
              <w:rPr>
                <w:iCs/>
                <w:sz w:val="22"/>
              </w:rPr>
            </w:pPr>
            <w:r>
              <w:rPr>
                <w:iCs/>
                <w:sz w:val="22"/>
              </w:rPr>
              <w:t xml:space="preserve">Resilience and coaching to develop </w:t>
            </w:r>
            <w:r w:rsidR="00556541">
              <w:rPr>
                <w:iCs/>
                <w:sz w:val="22"/>
              </w:rPr>
              <w:t xml:space="preserve">wellbeing </w:t>
            </w:r>
            <w:r w:rsidR="00FC0C32">
              <w:rPr>
                <w:iCs/>
                <w:sz w:val="22"/>
              </w:rPr>
              <w:t xml:space="preserve">and continue </w:t>
            </w:r>
            <w:r w:rsidR="00A22B8A">
              <w:rPr>
                <w:iCs/>
                <w:sz w:val="22"/>
              </w:rPr>
              <w:t>when times are difficult</w:t>
            </w:r>
          </w:p>
        </w:tc>
      </w:tr>
    </w:tbl>
    <w:p w14:paraId="044C5A34" w14:textId="673C29A6" w:rsidR="00595CC3" w:rsidRDefault="00595CC3">
      <w:pPr>
        <w:suppressAutoHyphens w:val="0"/>
        <w:spacing w:after="0" w:line="240" w:lineRule="auto"/>
        <w:rPr>
          <w:b/>
          <w:color w:val="104F75"/>
          <w:sz w:val="32"/>
          <w:szCs w:val="32"/>
        </w:rPr>
      </w:pPr>
    </w:p>
    <w:p w14:paraId="2A7D54FF" w14:textId="27ABC90A" w:rsidR="00E66558" w:rsidRDefault="009D71E8" w:rsidP="00595CC3">
      <w:pPr>
        <w:pStyle w:val="Heading2"/>
        <w:spacing w:before="0"/>
      </w:pPr>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228" w:type="pct"/>
        <w:tblCellMar>
          <w:left w:w="10" w:type="dxa"/>
          <w:right w:w="10" w:type="dxa"/>
        </w:tblCellMar>
        <w:tblLook w:val="04A0" w:firstRow="1" w:lastRow="0" w:firstColumn="1" w:lastColumn="0" w:noHBand="0" w:noVBand="1"/>
      </w:tblPr>
      <w:tblGrid>
        <w:gridCol w:w="3823"/>
        <w:gridCol w:w="6096"/>
      </w:tblGrid>
      <w:tr w:rsidR="00E66558" w14:paraId="2A7D5503" w14:textId="77777777" w:rsidTr="006966F3">
        <w:tc>
          <w:tcPr>
            <w:tcW w:w="382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609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6966F3">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14803CE" w:rsidR="00E66558" w:rsidRDefault="0075145D" w:rsidP="0075145D">
            <w:pPr>
              <w:pStyle w:val="TableRow"/>
              <w:ind w:left="0"/>
            </w:pPr>
            <w:r>
              <w:t>Improved outcomes</w:t>
            </w:r>
            <w:r w:rsidR="00595CC3">
              <w:t xml:space="preserve"> – specifically that disadvantaged pupils make progress relative to their peers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EF8BB" w14:textId="77777777" w:rsidR="00AD38DF" w:rsidRDefault="00183231">
            <w:pPr>
              <w:pStyle w:val="TableRowCentered"/>
              <w:jc w:val="left"/>
              <w:rPr>
                <w:sz w:val="22"/>
                <w:szCs w:val="22"/>
              </w:rPr>
            </w:pPr>
            <w:r>
              <w:rPr>
                <w:sz w:val="22"/>
                <w:szCs w:val="22"/>
              </w:rPr>
              <w:t xml:space="preserve">Outcomes for disadvantaged pupils in English and </w:t>
            </w:r>
            <w:r w:rsidR="008E6808">
              <w:rPr>
                <w:sz w:val="22"/>
                <w:szCs w:val="22"/>
              </w:rPr>
              <w:t xml:space="preserve">Maths </w:t>
            </w:r>
            <w:r>
              <w:rPr>
                <w:sz w:val="22"/>
                <w:szCs w:val="22"/>
              </w:rPr>
              <w:t xml:space="preserve">are in line with those of </w:t>
            </w:r>
            <w:r w:rsidR="00AD38DF">
              <w:rPr>
                <w:sz w:val="22"/>
                <w:szCs w:val="22"/>
              </w:rPr>
              <w:t xml:space="preserve">their </w:t>
            </w:r>
            <w:r>
              <w:rPr>
                <w:sz w:val="22"/>
                <w:szCs w:val="22"/>
              </w:rPr>
              <w:t>peers</w:t>
            </w:r>
            <w:r w:rsidR="00AD38DF">
              <w:rPr>
                <w:sz w:val="22"/>
                <w:szCs w:val="22"/>
              </w:rPr>
              <w:t>.</w:t>
            </w:r>
          </w:p>
          <w:p w14:paraId="152AEDB6" w14:textId="720B7185" w:rsidR="00EF3D5E" w:rsidRDefault="00EF3D5E">
            <w:pPr>
              <w:pStyle w:val="TableRowCentered"/>
              <w:jc w:val="left"/>
              <w:rPr>
                <w:sz w:val="22"/>
                <w:szCs w:val="22"/>
              </w:rPr>
            </w:pPr>
            <w:r>
              <w:rPr>
                <w:sz w:val="22"/>
                <w:szCs w:val="22"/>
              </w:rPr>
              <w:t>PP pupils achieve the number of outcomes in</w:t>
            </w:r>
            <w:r w:rsidR="00866E45">
              <w:rPr>
                <w:sz w:val="22"/>
                <w:szCs w:val="22"/>
              </w:rPr>
              <w:t xml:space="preserve"> </w:t>
            </w:r>
            <w:r>
              <w:rPr>
                <w:sz w:val="22"/>
                <w:szCs w:val="22"/>
              </w:rPr>
              <w:t>line with their peers.</w:t>
            </w:r>
          </w:p>
          <w:p w14:paraId="2A7D5505" w14:textId="23F72E74" w:rsidR="00AE0354" w:rsidRPr="00AE0354" w:rsidRDefault="00AE0354">
            <w:pPr>
              <w:pStyle w:val="TableRowCentered"/>
              <w:jc w:val="left"/>
              <w:rPr>
                <w:i/>
                <w:iCs/>
                <w:sz w:val="22"/>
                <w:szCs w:val="22"/>
              </w:rPr>
            </w:pPr>
            <w:r w:rsidRPr="00AE0354">
              <w:rPr>
                <w:i/>
                <w:iCs/>
                <w:sz w:val="22"/>
                <w:szCs w:val="22"/>
              </w:rPr>
              <w:t>Measured by: PP academic outcomes compared to peers in Summer 202</w:t>
            </w:r>
            <w:r w:rsidR="00976F01">
              <w:rPr>
                <w:i/>
                <w:iCs/>
                <w:sz w:val="22"/>
                <w:szCs w:val="22"/>
              </w:rPr>
              <w:t>3</w:t>
            </w:r>
            <w:r w:rsidRPr="00AE0354">
              <w:rPr>
                <w:i/>
                <w:iCs/>
                <w:sz w:val="22"/>
                <w:szCs w:val="22"/>
              </w:rPr>
              <w:t xml:space="preserve">, </w:t>
            </w:r>
          </w:p>
        </w:tc>
      </w:tr>
      <w:tr w:rsidR="00C17723" w14:paraId="4B442699" w14:textId="77777777" w:rsidTr="006966F3">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7CA33" w14:textId="42839A3F" w:rsidR="00C17723" w:rsidRDefault="00C17723">
            <w:pPr>
              <w:pStyle w:val="TableRow"/>
            </w:pPr>
            <w:r>
              <w:t>To create a literacy-rich learning environment that promotes reading and aids subject-specific learning</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9260A" w14:textId="6035F2A7" w:rsidR="00C17723" w:rsidRDefault="001361A7">
            <w:pPr>
              <w:pStyle w:val="TableRowCentered"/>
              <w:jc w:val="left"/>
              <w:rPr>
                <w:sz w:val="22"/>
                <w:szCs w:val="22"/>
              </w:rPr>
            </w:pPr>
            <w:r>
              <w:rPr>
                <w:sz w:val="22"/>
                <w:szCs w:val="22"/>
              </w:rPr>
              <w:t>All pupils will become confident communicators and pupils will increase their spelling and reading ages</w:t>
            </w:r>
            <w:r w:rsidR="00183231">
              <w:rPr>
                <w:sz w:val="22"/>
                <w:szCs w:val="22"/>
              </w:rPr>
              <w:t xml:space="preserve">. Where there are knowledge and/or skills gaps, pupils will </w:t>
            </w:r>
            <w:r w:rsidR="00710F37">
              <w:rPr>
                <w:sz w:val="22"/>
                <w:szCs w:val="22"/>
              </w:rPr>
              <w:t>make progress towards</w:t>
            </w:r>
            <w:r w:rsidR="00183231">
              <w:rPr>
                <w:sz w:val="22"/>
                <w:szCs w:val="22"/>
              </w:rPr>
              <w:t xml:space="preserve"> age-expected level</w:t>
            </w:r>
            <w:r w:rsidR="00710F37">
              <w:rPr>
                <w:sz w:val="22"/>
                <w:szCs w:val="22"/>
              </w:rPr>
              <w:t>s</w:t>
            </w:r>
            <w:r w:rsidR="00183231">
              <w:rPr>
                <w:sz w:val="22"/>
                <w:szCs w:val="22"/>
              </w:rPr>
              <w:t>.</w:t>
            </w:r>
          </w:p>
          <w:p w14:paraId="3A14CE89" w14:textId="411247C6" w:rsidR="00183231" w:rsidRPr="00183231" w:rsidRDefault="00183231">
            <w:pPr>
              <w:pStyle w:val="TableRowCentered"/>
              <w:jc w:val="left"/>
              <w:rPr>
                <w:i/>
                <w:iCs/>
                <w:sz w:val="22"/>
                <w:szCs w:val="22"/>
              </w:rPr>
            </w:pPr>
            <w:r w:rsidRPr="00183231">
              <w:rPr>
                <w:i/>
                <w:iCs/>
                <w:sz w:val="22"/>
                <w:szCs w:val="22"/>
              </w:rPr>
              <w:t xml:space="preserve">Measured </w:t>
            </w:r>
            <w:r>
              <w:rPr>
                <w:i/>
                <w:iCs/>
                <w:sz w:val="22"/>
                <w:szCs w:val="22"/>
              </w:rPr>
              <w:t>by</w:t>
            </w:r>
            <w:r w:rsidRPr="00183231">
              <w:rPr>
                <w:i/>
                <w:iCs/>
                <w:sz w:val="22"/>
                <w:szCs w:val="22"/>
              </w:rPr>
              <w:t>: progress made in spelling and reading from pupil starting point using NGRT and NGST tests, pupils voice, learning walks</w:t>
            </w:r>
            <w:r w:rsidR="00587A23">
              <w:rPr>
                <w:i/>
                <w:iCs/>
                <w:sz w:val="22"/>
                <w:szCs w:val="22"/>
              </w:rPr>
              <w:t xml:space="preserve">, </w:t>
            </w:r>
            <w:r w:rsidR="00587A23" w:rsidRPr="00AE0354">
              <w:rPr>
                <w:i/>
                <w:iCs/>
                <w:sz w:val="22"/>
                <w:szCs w:val="22"/>
              </w:rPr>
              <w:t>application of phonics/phonics tracking, entry and exit scores, % uptake and participation with interventions</w:t>
            </w:r>
          </w:p>
        </w:tc>
      </w:tr>
      <w:tr w:rsidR="00C17723" w14:paraId="59B4ACAA" w14:textId="77777777" w:rsidTr="006966F3">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139E" w14:textId="2689713B" w:rsidR="00C17723" w:rsidRDefault="00F60E70">
            <w:pPr>
              <w:pStyle w:val="TableRow"/>
            </w:pPr>
            <w:r>
              <w:t xml:space="preserve">To provide </w:t>
            </w:r>
            <w:r w:rsidR="00100F4E">
              <w:t>accurate assessment of gaps in knowledge on entry to the academy</w:t>
            </w:r>
            <w:r w:rsidR="004A1E72">
              <w:t xml:space="preserve"> so that target setting is aspirational and interventions </w:t>
            </w:r>
            <w:r w:rsidR="0000413F">
              <w:t>can be planned for</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65D33" w14:textId="77777777" w:rsidR="00917505" w:rsidRDefault="0000413F" w:rsidP="008F1C01">
            <w:pPr>
              <w:pStyle w:val="TableRowCentered"/>
              <w:jc w:val="left"/>
              <w:rPr>
                <w:sz w:val="22"/>
                <w:szCs w:val="22"/>
              </w:rPr>
            </w:pPr>
            <w:r w:rsidRPr="008F1C01">
              <w:rPr>
                <w:sz w:val="22"/>
                <w:szCs w:val="22"/>
              </w:rPr>
              <w:t>All pupils will have a suite of baseline assessments on entry</w:t>
            </w:r>
            <w:r w:rsidR="00917505" w:rsidRPr="008F1C01">
              <w:rPr>
                <w:sz w:val="22"/>
                <w:szCs w:val="22"/>
              </w:rPr>
              <w:t>, including reading, spelling, maths and English using BKSB.</w:t>
            </w:r>
            <w:r w:rsidR="008F1C01">
              <w:rPr>
                <w:sz w:val="22"/>
                <w:szCs w:val="22"/>
              </w:rPr>
              <w:t xml:space="preserve"> </w:t>
            </w:r>
            <w:r w:rsidR="00917505" w:rsidRPr="008F1C01">
              <w:rPr>
                <w:sz w:val="22"/>
                <w:szCs w:val="22"/>
              </w:rPr>
              <w:t xml:space="preserve">Pupils will have clear targets set </w:t>
            </w:r>
            <w:r w:rsidR="008F1C01" w:rsidRPr="008F1C01">
              <w:rPr>
                <w:sz w:val="22"/>
                <w:szCs w:val="22"/>
              </w:rPr>
              <w:t>and will make progress towards their targets.</w:t>
            </w:r>
            <w:r w:rsidR="00980B32">
              <w:rPr>
                <w:sz w:val="22"/>
                <w:szCs w:val="22"/>
              </w:rPr>
              <w:t xml:space="preserve"> Pupils will be involved in their learning journey</w:t>
            </w:r>
            <w:r w:rsidR="00914184">
              <w:rPr>
                <w:sz w:val="22"/>
                <w:szCs w:val="22"/>
              </w:rPr>
              <w:t>.</w:t>
            </w:r>
          </w:p>
          <w:p w14:paraId="0646804D" w14:textId="7551E536" w:rsidR="00914184" w:rsidRPr="00AE0354" w:rsidRDefault="00914184" w:rsidP="008F1C01">
            <w:pPr>
              <w:pStyle w:val="TableRowCentered"/>
              <w:jc w:val="left"/>
              <w:rPr>
                <w:i/>
                <w:iCs/>
                <w:sz w:val="22"/>
                <w:szCs w:val="22"/>
              </w:rPr>
            </w:pPr>
            <w:r w:rsidRPr="00AE0354">
              <w:rPr>
                <w:i/>
                <w:iCs/>
                <w:sz w:val="22"/>
                <w:szCs w:val="22"/>
              </w:rPr>
              <w:t xml:space="preserve">Measured by: PP </w:t>
            </w:r>
            <w:r>
              <w:rPr>
                <w:i/>
                <w:iCs/>
                <w:sz w:val="22"/>
                <w:szCs w:val="22"/>
              </w:rPr>
              <w:t xml:space="preserve">baseline assessment data and target setting in DCpro, half termly progress analysis, </w:t>
            </w:r>
            <w:r w:rsidR="00283BAC">
              <w:rPr>
                <w:i/>
                <w:iCs/>
                <w:sz w:val="22"/>
                <w:szCs w:val="22"/>
              </w:rPr>
              <w:t>s</w:t>
            </w:r>
            <w:r w:rsidRPr="00AE0354">
              <w:rPr>
                <w:i/>
                <w:iCs/>
                <w:sz w:val="22"/>
                <w:szCs w:val="22"/>
              </w:rPr>
              <w:t>ummer 202</w:t>
            </w:r>
            <w:r>
              <w:rPr>
                <w:i/>
                <w:iCs/>
                <w:sz w:val="22"/>
                <w:szCs w:val="22"/>
              </w:rPr>
              <w:t>3</w:t>
            </w:r>
            <w:r w:rsidR="00283BAC">
              <w:rPr>
                <w:i/>
                <w:iCs/>
                <w:sz w:val="22"/>
                <w:szCs w:val="22"/>
              </w:rPr>
              <w:t xml:space="preserve"> exam results and outcomes</w:t>
            </w:r>
            <w:r w:rsidRPr="00AE0354">
              <w:rPr>
                <w:i/>
                <w:iCs/>
                <w:sz w:val="22"/>
                <w:szCs w:val="22"/>
              </w:rPr>
              <w:t>,</w:t>
            </w:r>
          </w:p>
        </w:tc>
      </w:tr>
      <w:tr w:rsidR="00C17723" w14:paraId="3DD95A79" w14:textId="77777777" w:rsidTr="006966F3">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5743C" w14:textId="08169E6B" w:rsidR="00C17723" w:rsidRDefault="00C17723">
            <w:pPr>
              <w:pStyle w:val="TableRow"/>
            </w:pPr>
            <w:r>
              <w:t>To provide greater opportunities and awareness, through purposeful learning experiences</w:t>
            </w:r>
            <w:r w:rsidR="0047358F">
              <w:t xml:space="preserve"> and ensure that pupils can fully engage</w:t>
            </w:r>
            <w:r w:rsidR="000C7834">
              <w:t xml:space="preserve"> in activities with required resources</w:t>
            </w:r>
            <w:r>
              <w:t xml:space="preserve">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E5FA5" w14:textId="77777777" w:rsidR="00C17723" w:rsidRDefault="00C17723">
            <w:pPr>
              <w:pStyle w:val="TableRowCentered"/>
              <w:jc w:val="left"/>
              <w:rPr>
                <w:sz w:val="22"/>
                <w:szCs w:val="22"/>
              </w:rPr>
            </w:pPr>
            <w:r>
              <w:rPr>
                <w:sz w:val="22"/>
                <w:szCs w:val="22"/>
              </w:rPr>
              <w:t xml:space="preserve">All children will access a </w:t>
            </w:r>
            <w:r w:rsidR="00AE0354">
              <w:rPr>
                <w:sz w:val="22"/>
                <w:szCs w:val="22"/>
              </w:rPr>
              <w:t>variety of suitable and relevant learning experiences that enhance the curriculum and expose young people to a wider view of the world. This may be achieved through external trips and visits, visiting speakers, work experience and discreet learning on global and topical issues.</w:t>
            </w:r>
          </w:p>
          <w:p w14:paraId="78891436" w14:textId="61F90614" w:rsidR="00AE0354" w:rsidRPr="00AE0354" w:rsidRDefault="00AE0354">
            <w:pPr>
              <w:pStyle w:val="TableRowCentered"/>
              <w:jc w:val="left"/>
              <w:rPr>
                <w:i/>
                <w:iCs/>
                <w:sz w:val="22"/>
                <w:szCs w:val="22"/>
              </w:rPr>
            </w:pPr>
            <w:r w:rsidRPr="00AE0354">
              <w:rPr>
                <w:i/>
                <w:iCs/>
                <w:sz w:val="22"/>
                <w:szCs w:val="22"/>
              </w:rPr>
              <w:t>Measured by: Quality of curriculum offer, parental and pupil voice, student council feedback, % of pupils engaging with offsite activities and work experience, QA of work experience</w:t>
            </w:r>
          </w:p>
        </w:tc>
      </w:tr>
      <w:tr w:rsidR="008A1BEC" w14:paraId="0D74B63C" w14:textId="77777777" w:rsidTr="006966F3">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5E5CC" w14:textId="3BC0E484" w:rsidR="008A1BEC" w:rsidRDefault="008A1BEC" w:rsidP="008A1BEC">
            <w:pPr>
              <w:pStyle w:val="TableRow"/>
            </w:pPr>
            <w:r>
              <w:t>Improved attendance of pupils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21FF0" w14:textId="0B437CCF" w:rsidR="008A1BEC" w:rsidRDefault="008A1BEC" w:rsidP="008A1BEC">
            <w:pPr>
              <w:pStyle w:val="TableRowCentered"/>
              <w:jc w:val="left"/>
              <w:rPr>
                <w:sz w:val="22"/>
                <w:szCs w:val="22"/>
              </w:rPr>
            </w:pPr>
            <w:r>
              <w:rPr>
                <w:sz w:val="22"/>
                <w:szCs w:val="22"/>
              </w:rPr>
              <w:t xml:space="preserve">Pupil attendance is above the national average for AP and persistent absenteeism is below that of the national average for APs. </w:t>
            </w:r>
            <w:r w:rsidR="00E27E75">
              <w:rPr>
                <w:sz w:val="22"/>
                <w:szCs w:val="22"/>
              </w:rPr>
              <w:t xml:space="preserve">PP pupils will </w:t>
            </w:r>
            <w:r w:rsidR="00A50681">
              <w:rPr>
                <w:sz w:val="22"/>
                <w:szCs w:val="22"/>
              </w:rPr>
              <w:t xml:space="preserve">have attendance in line with their peers. </w:t>
            </w:r>
            <w:r>
              <w:rPr>
                <w:sz w:val="22"/>
                <w:szCs w:val="22"/>
              </w:rPr>
              <w:t>Most pupils make positive progress against their starting point or historical attendance data.</w:t>
            </w:r>
          </w:p>
          <w:p w14:paraId="572DA736" w14:textId="3717D90E" w:rsidR="008A1BEC" w:rsidRDefault="008A1BEC" w:rsidP="008A1BEC">
            <w:pPr>
              <w:pStyle w:val="TableRowCentered"/>
              <w:jc w:val="left"/>
              <w:rPr>
                <w:sz w:val="22"/>
                <w:szCs w:val="22"/>
              </w:rPr>
            </w:pPr>
            <w:r w:rsidRPr="00183231">
              <w:rPr>
                <w:i/>
                <w:iCs/>
                <w:sz w:val="22"/>
                <w:szCs w:val="22"/>
              </w:rPr>
              <w:t>Measured by:</w:t>
            </w:r>
            <w:r>
              <w:rPr>
                <w:i/>
                <w:iCs/>
                <w:sz w:val="22"/>
                <w:szCs w:val="22"/>
              </w:rPr>
              <w:t xml:space="preserve"> </w:t>
            </w:r>
            <w:r w:rsidRPr="00183231">
              <w:rPr>
                <w:i/>
                <w:iCs/>
                <w:sz w:val="22"/>
                <w:szCs w:val="22"/>
              </w:rPr>
              <w:t>PP attendance figures and persistent absenteeism, attendance progress data using school.</w:t>
            </w:r>
          </w:p>
        </w:tc>
      </w:tr>
      <w:tr w:rsidR="009D1A3E" w14:paraId="2F3AF3DB" w14:textId="77777777" w:rsidTr="006966F3">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E2278" w14:textId="07738AFF" w:rsidR="009D1A3E" w:rsidRDefault="009D1A3E" w:rsidP="008A1BEC">
            <w:pPr>
              <w:pStyle w:val="TableRow"/>
            </w:pPr>
            <w:r>
              <w:t>All pupils, including those who are LAC are able to access the curriculum onsite and at home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D3A86" w14:textId="2F9CAF20" w:rsidR="009D1A3E" w:rsidRDefault="009D1A3E" w:rsidP="008A1BEC">
            <w:pPr>
              <w:pStyle w:val="TableRowCentered"/>
              <w:jc w:val="left"/>
              <w:rPr>
                <w:sz w:val="22"/>
                <w:szCs w:val="22"/>
              </w:rPr>
            </w:pPr>
            <w:r>
              <w:rPr>
                <w:sz w:val="22"/>
                <w:szCs w:val="22"/>
              </w:rPr>
              <w:t>LAC pupil</w:t>
            </w:r>
            <w:r w:rsidR="00A50681">
              <w:rPr>
                <w:sz w:val="22"/>
                <w:szCs w:val="22"/>
              </w:rPr>
              <w:t>s</w:t>
            </w:r>
            <w:r>
              <w:rPr>
                <w:sz w:val="22"/>
                <w:szCs w:val="22"/>
              </w:rPr>
              <w:t xml:space="preserve"> </w:t>
            </w:r>
            <w:r w:rsidR="00461424">
              <w:rPr>
                <w:sz w:val="22"/>
                <w:szCs w:val="22"/>
              </w:rPr>
              <w:t>to have access to</w:t>
            </w:r>
            <w:r>
              <w:rPr>
                <w:sz w:val="22"/>
                <w:szCs w:val="22"/>
              </w:rPr>
              <w:t xml:space="preserve"> ICT </w:t>
            </w:r>
            <w:r w:rsidR="00461424">
              <w:rPr>
                <w:sz w:val="22"/>
                <w:szCs w:val="22"/>
              </w:rPr>
              <w:t xml:space="preserve">where required so that they can </w:t>
            </w:r>
            <w:r>
              <w:rPr>
                <w:sz w:val="22"/>
                <w:szCs w:val="22"/>
              </w:rPr>
              <w:t xml:space="preserve">access </w:t>
            </w:r>
            <w:r w:rsidR="00461424">
              <w:rPr>
                <w:sz w:val="22"/>
                <w:szCs w:val="22"/>
              </w:rPr>
              <w:t xml:space="preserve">education from </w:t>
            </w:r>
            <w:r>
              <w:rPr>
                <w:sz w:val="22"/>
                <w:szCs w:val="22"/>
              </w:rPr>
              <w:t>home</w:t>
            </w:r>
            <w:r w:rsidR="00461424">
              <w:rPr>
                <w:sz w:val="22"/>
                <w:szCs w:val="22"/>
              </w:rPr>
              <w:t xml:space="preserve"> taking into account possible instability in living arrangements and frequent moves</w:t>
            </w:r>
            <w:r>
              <w:rPr>
                <w:sz w:val="22"/>
                <w:szCs w:val="22"/>
              </w:rPr>
              <w:t xml:space="preserve">. Century </w:t>
            </w:r>
            <w:r w:rsidR="00461424">
              <w:rPr>
                <w:sz w:val="22"/>
                <w:szCs w:val="22"/>
              </w:rPr>
              <w:t xml:space="preserve">and BKSB </w:t>
            </w:r>
            <w:r>
              <w:rPr>
                <w:sz w:val="22"/>
                <w:szCs w:val="22"/>
              </w:rPr>
              <w:t xml:space="preserve">Learning to </w:t>
            </w:r>
            <w:r w:rsidR="00FB5325">
              <w:rPr>
                <w:sz w:val="22"/>
                <w:szCs w:val="22"/>
              </w:rPr>
              <w:t xml:space="preserve">support </w:t>
            </w:r>
            <w:r w:rsidR="00461424">
              <w:rPr>
                <w:sz w:val="22"/>
                <w:szCs w:val="22"/>
              </w:rPr>
              <w:t>online learning.</w:t>
            </w:r>
            <w:r w:rsidR="00FB5325">
              <w:rPr>
                <w:sz w:val="22"/>
                <w:szCs w:val="22"/>
              </w:rPr>
              <w:t xml:space="preserve"> </w:t>
            </w:r>
          </w:p>
        </w:tc>
      </w:tr>
      <w:tr w:rsidR="00866E45" w14:paraId="72076088" w14:textId="77777777" w:rsidTr="006966F3">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7CF1" w14:textId="592FCB24" w:rsidR="00866E45" w:rsidRDefault="00866E45" w:rsidP="008A1BEC">
            <w:pPr>
              <w:pStyle w:val="TableRow"/>
            </w:pPr>
            <w:r>
              <w:lastRenderedPageBreak/>
              <w:t xml:space="preserve">Pupils will </w:t>
            </w:r>
            <w:r w:rsidR="00794246">
              <w:t xml:space="preserve">have access to resilience sessions and have the opportunity to </w:t>
            </w:r>
            <w:r w:rsidR="001A6BD1">
              <w:t>engage in physical exercise to improve wellbeing</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F300B" w14:textId="0B394FB3" w:rsidR="00866E45" w:rsidRDefault="004649AD" w:rsidP="008A1BEC">
            <w:pPr>
              <w:pStyle w:val="TableRowCentered"/>
              <w:jc w:val="left"/>
              <w:rPr>
                <w:sz w:val="22"/>
                <w:szCs w:val="22"/>
              </w:rPr>
            </w:pPr>
            <w:r>
              <w:rPr>
                <w:sz w:val="22"/>
                <w:szCs w:val="22"/>
              </w:rPr>
              <w:t>Pupils will engage in lessons about resilience and appropriate behaviours. Pupils will engage in an activity that improves their fitness and wellbeing and have a positive experience in doing this</w:t>
            </w:r>
            <w:r w:rsidR="00F3059C">
              <w:rPr>
                <w:sz w:val="22"/>
                <w:szCs w:val="22"/>
              </w:rPr>
              <w:t xml:space="preserve"> whilst also developing their own personal resilience.</w:t>
            </w:r>
          </w:p>
          <w:p w14:paraId="7572EC28" w14:textId="7B55115C" w:rsidR="00F3059C" w:rsidRDefault="00F3059C" w:rsidP="008A1BEC">
            <w:pPr>
              <w:pStyle w:val="TableRowCentered"/>
              <w:jc w:val="left"/>
              <w:rPr>
                <w:i/>
                <w:iCs/>
                <w:sz w:val="22"/>
                <w:szCs w:val="22"/>
              </w:rPr>
            </w:pPr>
            <w:r>
              <w:rPr>
                <w:i/>
                <w:iCs/>
                <w:sz w:val="22"/>
                <w:szCs w:val="22"/>
              </w:rPr>
              <w:t>Engagement in</w:t>
            </w:r>
            <w:r w:rsidR="00820AE9">
              <w:rPr>
                <w:i/>
                <w:iCs/>
                <w:sz w:val="22"/>
                <w:szCs w:val="22"/>
              </w:rPr>
              <w:t xml:space="preserve"> </w:t>
            </w:r>
            <w:r w:rsidR="00B030DB">
              <w:rPr>
                <w:i/>
                <w:iCs/>
                <w:sz w:val="22"/>
                <w:szCs w:val="22"/>
              </w:rPr>
              <w:t>boxing session</w:t>
            </w:r>
            <w:r w:rsidR="001737A6">
              <w:rPr>
                <w:i/>
                <w:iCs/>
                <w:sz w:val="22"/>
                <w:szCs w:val="22"/>
              </w:rPr>
              <w:t xml:space="preserve"> once per week</w:t>
            </w:r>
            <w:r w:rsidR="00B030DB">
              <w:rPr>
                <w:i/>
                <w:iCs/>
                <w:sz w:val="22"/>
                <w:szCs w:val="22"/>
              </w:rPr>
              <w:t>.</w:t>
            </w:r>
            <w:r w:rsidR="009E6FDD">
              <w:rPr>
                <w:i/>
                <w:iCs/>
                <w:sz w:val="22"/>
                <w:szCs w:val="22"/>
              </w:rPr>
              <w:t xml:space="preserve"> </w:t>
            </w:r>
            <w:r w:rsidR="004D46A7">
              <w:rPr>
                <w:i/>
                <w:iCs/>
                <w:sz w:val="22"/>
                <w:szCs w:val="22"/>
              </w:rPr>
              <w:t>Pupil feedback reviews.</w:t>
            </w:r>
          </w:p>
          <w:p w14:paraId="60492B1A" w14:textId="7FC979A1" w:rsidR="00B030DB" w:rsidRPr="00F3059C" w:rsidRDefault="00B030DB" w:rsidP="008A1BEC">
            <w:pPr>
              <w:pStyle w:val="TableRowCentered"/>
              <w:jc w:val="left"/>
              <w:rPr>
                <w:i/>
                <w:iCs/>
                <w:sz w:val="22"/>
                <w:szCs w:val="22"/>
              </w:rPr>
            </w:pPr>
            <w:r>
              <w:rPr>
                <w:i/>
                <w:iCs/>
                <w:sz w:val="22"/>
                <w:szCs w:val="22"/>
              </w:rPr>
              <w:t>Engagement in Think for the Future lessons once per w</w:t>
            </w:r>
            <w:r w:rsidR="001737A6">
              <w:rPr>
                <w:i/>
                <w:iCs/>
                <w:sz w:val="22"/>
                <w:szCs w:val="22"/>
              </w:rPr>
              <w:t>eek</w:t>
            </w:r>
          </w:p>
        </w:tc>
      </w:tr>
    </w:tbl>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565B0F5" w:rsidR="00E66558" w:rsidRDefault="009D71E8">
      <w:r>
        <w:t>Budgeted cost: £</w:t>
      </w:r>
      <w:r w:rsidR="00466131">
        <w:t>9</w:t>
      </w:r>
      <w:r w:rsidR="00C86924">
        <w:t>,500</w:t>
      </w:r>
    </w:p>
    <w:tbl>
      <w:tblPr>
        <w:tblW w:w="5303" w:type="pct"/>
        <w:tblCellMar>
          <w:left w:w="10" w:type="dxa"/>
          <w:right w:w="10" w:type="dxa"/>
        </w:tblCellMar>
        <w:tblLook w:val="04A0" w:firstRow="1" w:lastRow="0" w:firstColumn="1" w:lastColumn="0" w:noHBand="0" w:noVBand="1"/>
      </w:tblPr>
      <w:tblGrid>
        <w:gridCol w:w="2688"/>
        <w:gridCol w:w="5812"/>
        <w:gridCol w:w="1561"/>
      </w:tblGrid>
      <w:tr w:rsidR="00E66558" w14:paraId="2A7D5519" w14:textId="77777777" w:rsidTr="00354866">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8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6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35486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2F81607E" w:rsidR="002F76FE" w:rsidRPr="00BA112C" w:rsidRDefault="00BA112C" w:rsidP="00BA112C">
            <w:pPr>
              <w:pStyle w:val="TableRow"/>
              <w:ind w:left="0"/>
              <w:rPr>
                <w:sz w:val="20"/>
                <w:szCs w:val="20"/>
              </w:rPr>
            </w:pPr>
            <w:r>
              <w:rPr>
                <w:sz w:val="20"/>
                <w:szCs w:val="20"/>
              </w:rPr>
              <w:t>S</w:t>
            </w:r>
            <w:r w:rsidR="00421D47" w:rsidRPr="00BA112C">
              <w:rPr>
                <w:sz w:val="20"/>
                <w:szCs w:val="20"/>
              </w:rPr>
              <w:t xml:space="preserve">taff </w:t>
            </w:r>
            <w:r>
              <w:rPr>
                <w:sz w:val="20"/>
                <w:szCs w:val="20"/>
              </w:rPr>
              <w:t xml:space="preserve">will develop their </w:t>
            </w:r>
            <w:r w:rsidR="00421D47" w:rsidRPr="00BA112C">
              <w:rPr>
                <w:sz w:val="20"/>
                <w:szCs w:val="20"/>
              </w:rPr>
              <w:t>pedago</w:t>
            </w:r>
            <w:r w:rsidRPr="00BA112C">
              <w:rPr>
                <w:sz w:val="20"/>
                <w:szCs w:val="20"/>
              </w:rPr>
              <w:t>gical knowledge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35ABCED7" w:rsidR="00E66558" w:rsidRPr="001361A7" w:rsidRDefault="002C50D6">
            <w:pPr>
              <w:pStyle w:val="TableRowCentered"/>
              <w:jc w:val="left"/>
              <w:rPr>
                <w:sz w:val="20"/>
              </w:rPr>
            </w:pPr>
            <w:r>
              <w:rPr>
                <w:sz w:val="20"/>
              </w:rPr>
              <w:t>EEF Recommendation ‘Improving literacy in Secondary Schools’ – School leaders can help teachers by ensuring training relating to literacy prioritises subject specificity over general approaches.</w:t>
            </w:r>
            <w:r w:rsidR="006431D3">
              <w:rPr>
                <w:sz w:val="20"/>
              </w:rPr>
              <w:t xml:space="preserve"> Pedagogy CPD from the Educational Psychology service.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5E9AFBB" w:rsidR="00E66558" w:rsidRPr="001361A7" w:rsidRDefault="003725B4">
            <w:pPr>
              <w:pStyle w:val="TableRowCentered"/>
              <w:jc w:val="left"/>
              <w:rPr>
                <w:sz w:val="20"/>
              </w:rPr>
            </w:pPr>
            <w:r w:rsidRPr="001361A7">
              <w:rPr>
                <w:sz w:val="20"/>
              </w:rPr>
              <w:t>1, 2</w:t>
            </w:r>
            <w:r w:rsidR="00FD41EB">
              <w:rPr>
                <w:sz w:val="20"/>
              </w:rPr>
              <w:t>, 3</w:t>
            </w:r>
          </w:p>
        </w:tc>
      </w:tr>
      <w:tr w:rsidR="002C50D6" w14:paraId="769CB2F6" w14:textId="77777777" w:rsidTr="0035486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78686" w14:textId="18F88D50" w:rsidR="002C50D6" w:rsidRPr="001361A7" w:rsidRDefault="002C0077" w:rsidP="003725B4">
            <w:pPr>
              <w:pStyle w:val="TableRow"/>
              <w:ind w:left="0"/>
              <w:rPr>
                <w:sz w:val="20"/>
                <w:szCs w:val="20"/>
              </w:rPr>
            </w:pPr>
            <w:r>
              <w:rPr>
                <w:sz w:val="20"/>
                <w:szCs w:val="20"/>
              </w:rPr>
              <w:t xml:space="preserve">Staff </w:t>
            </w:r>
            <w:r w:rsidR="00C86924">
              <w:rPr>
                <w:sz w:val="20"/>
                <w:szCs w:val="20"/>
              </w:rPr>
              <w:t>T&amp;L lead responsibility post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B4A6" w14:textId="0D061912" w:rsidR="002C50D6" w:rsidRDefault="000941B4">
            <w:pPr>
              <w:pStyle w:val="TableRowCentered"/>
              <w:jc w:val="left"/>
              <w:rPr>
                <w:sz w:val="20"/>
              </w:rPr>
            </w:pPr>
            <w:r>
              <w:rPr>
                <w:sz w:val="20"/>
              </w:rPr>
              <w:t>Support and guidance for teachers and STLAs around strategies, pedagogy</w:t>
            </w:r>
            <w:r w:rsidR="006431D3">
              <w:rPr>
                <w:sz w:val="20"/>
              </w:rPr>
              <w:t xml:space="preserve"> and assessment of the quality of </w:t>
            </w:r>
            <w:r w:rsidR="00722679">
              <w:rPr>
                <w:sz w:val="20"/>
              </w:rPr>
              <w:t>planning and marking &amp; feedback</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F026B" w14:textId="776F4D6C" w:rsidR="002C50D6" w:rsidRPr="001361A7" w:rsidRDefault="00FD41EB">
            <w:pPr>
              <w:pStyle w:val="TableRowCentered"/>
              <w:jc w:val="left"/>
              <w:rPr>
                <w:sz w:val="20"/>
              </w:rPr>
            </w:pPr>
            <w:r>
              <w:rPr>
                <w:sz w:val="20"/>
              </w:rPr>
              <w:t>1, 3, 3</w:t>
            </w:r>
          </w:p>
        </w:tc>
      </w:tr>
      <w:tr w:rsidR="00FD41EB" w14:paraId="36D07207" w14:textId="77777777" w:rsidTr="0035486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ED04A" w14:textId="61ACB446" w:rsidR="00FD41EB" w:rsidRDefault="00754C0E" w:rsidP="003725B4">
            <w:pPr>
              <w:pStyle w:val="TableRow"/>
              <w:ind w:left="0"/>
              <w:rPr>
                <w:sz w:val="20"/>
                <w:szCs w:val="20"/>
              </w:rPr>
            </w:pPr>
            <w:r>
              <w:rPr>
                <w:sz w:val="20"/>
                <w:szCs w:val="20"/>
              </w:rPr>
              <w:t xml:space="preserve">Assessment of pupil baseline levels, gaps and target setting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96E4B" w14:textId="72E0FD2D" w:rsidR="00FD41EB" w:rsidRDefault="00FA54BA">
            <w:pPr>
              <w:pStyle w:val="TableRowCentered"/>
              <w:jc w:val="left"/>
              <w:rPr>
                <w:sz w:val="20"/>
              </w:rPr>
            </w:pPr>
            <w:r>
              <w:rPr>
                <w:sz w:val="20"/>
              </w:rPr>
              <w:t xml:space="preserve">Teachers are able to use assessment of and for learning to measure progress if pupils have the systems to complete baseline assessments. </w:t>
            </w:r>
            <w:r w:rsidR="00603FD8">
              <w:rPr>
                <w:sz w:val="20"/>
              </w:rPr>
              <w:t>This supports t</w:t>
            </w:r>
            <w:r>
              <w:rPr>
                <w:sz w:val="20"/>
              </w:rPr>
              <w:t>eaching and learning</w:t>
            </w:r>
            <w:r w:rsidR="00603FD8">
              <w:rPr>
                <w:sz w:val="20"/>
              </w:rPr>
              <w:t xml:space="preserve"> through</w:t>
            </w:r>
            <w:r w:rsidR="008B7156">
              <w:rPr>
                <w:sz w:val="20"/>
              </w:rPr>
              <w:t xml:space="preserve"> </w:t>
            </w:r>
            <w:r w:rsidR="00603FD8">
              <w:rPr>
                <w:sz w:val="20"/>
              </w:rPr>
              <w:t>high quality implementation</w:t>
            </w:r>
            <w:r w:rsidR="008B7156">
              <w:rPr>
                <w:sz w:val="20"/>
              </w:rPr>
              <w:t>,</w:t>
            </w:r>
            <w:r w:rsidR="00603FD8">
              <w:rPr>
                <w:sz w:val="20"/>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8EAB2" w14:textId="2B9ADED2" w:rsidR="00FD41EB" w:rsidRDefault="0084264A">
            <w:pPr>
              <w:pStyle w:val="TableRowCentered"/>
              <w:jc w:val="left"/>
              <w:rPr>
                <w:sz w:val="20"/>
              </w:rPr>
            </w:pPr>
            <w:r>
              <w:rPr>
                <w:sz w:val="20"/>
              </w:rPr>
              <w:t>2, 3</w:t>
            </w:r>
          </w:p>
        </w:tc>
      </w:tr>
      <w:tr w:rsidR="00E912E3" w14:paraId="600AE625" w14:textId="77777777" w:rsidTr="0035486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B6FB3" w14:textId="5BE7B249" w:rsidR="00E912E3" w:rsidRDefault="00E912E3" w:rsidP="003725B4">
            <w:pPr>
              <w:pStyle w:val="TableRow"/>
              <w:ind w:left="0"/>
              <w:rPr>
                <w:sz w:val="20"/>
                <w:szCs w:val="20"/>
              </w:rPr>
            </w:pPr>
            <w:r>
              <w:rPr>
                <w:sz w:val="20"/>
                <w:szCs w:val="20"/>
              </w:rPr>
              <w:t xml:space="preserve">Technology to support </w:t>
            </w:r>
            <w:r w:rsidR="00535DB1">
              <w:rPr>
                <w:sz w:val="20"/>
                <w:szCs w:val="20"/>
              </w:rPr>
              <w:t>engagement in teaching and learning</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8FE84" w14:textId="7D847705" w:rsidR="00E912E3" w:rsidRDefault="00F209FD">
            <w:pPr>
              <w:pStyle w:val="TableRowCentered"/>
              <w:jc w:val="left"/>
              <w:rPr>
                <w:sz w:val="20"/>
              </w:rPr>
            </w:pPr>
            <w:r>
              <w:rPr>
                <w:sz w:val="20"/>
              </w:rPr>
              <w:t>Teachers are able to use assessment of and for learning to measure progress</w:t>
            </w:r>
            <w:r w:rsidR="00FA54BA">
              <w:rPr>
                <w:sz w:val="20"/>
              </w:rPr>
              <w:t xml:space="preserve"> if pupils have the ICT facilities to complete baseline assessments</w:t>
            </w:r>
            <w:r w:rsidR="008B7156">
              <w:rPr>
                <w:sz w:val="20"/>
              </w:rPr>
              <w:t>. Implementation high quality.</w:t>
            </w:r>
            <w:r w:rsidR="00FA54BA">
              <w:rPr>
                <w:sz w:val="20"/>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8FBA7" w14:textId="78920AA5" w:rsidR="00E912E3" w:rsidRDefault="009F066C">
            <w:pPr>
              <w:pStyle w:val="TableRowCentered"/>
              <w:jc w:val="left"/>
              <w:rPr>
                <w:sz w:val="20"/>
              </w:rPr>
            </w:pPr>
            <w:r>
              <w:rPr>
                <w:sz w:val="20"/>
              </w:rPr>
              <w:t>2, 3</w:t>
            </w:r>
          </w:p>
        </w:tc>
      </w:tr>
    </w:tbl>
    <w:p w14:paraId="08EE46A6" w14:textId="6E7AA28B" w:rsidR="00601563" w:rsidRDefault="00601563">
      <w:pPr>
        <w:suppressAutoHyphens w:val="0"/>
        <w:spacing w:after="0" w:line="240" w:lineRule="auto"/>
        <w:rPr>
          <w:b/>
          <w:bCs/>
          <w:color w:val="104F75"/>
          <w:sz w:val="28"/>
          <w:szCs w:val="28"/>
        </w:rPr>
      </w:pPr>
    </w:p>
    <w:p w14:paraId="2A7D5523" w14:textId="0596E57B"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027FD177" w:rsidR="00E66558" w:rsidRDefault="009D71E8">
      <w:r>
        <w:t>Budgeted cost: £</w:t>
      </w:r>
      <w:r w:rsidR="00345E20">
        <w:t>20</w:t>
      </w:r>
      <w:r w:rsidR="003A321F">
        <w:t>,000</w:t>
      </w:r>
    </w:p>
    <w:tbl>
      <w:tblPr>
        <w:tblW w:w="5303" w:type="pct"/>
        <w:tblCellMar>
          <w:left w:w="10" w:type="dxa"/>
          <w:right w:w="10" w:type="dxa"/>
        </w:tblCellMar>
        <w:tblLook w:val="04A0" w:firstRow="1" w:lastRow="0" w:firstColumn="1" w:lastColumn="0" w:noHBand="0" w:noVBand="1"/>
      </w:tblPr>
      <w:tblGrid>
        <w:gridCol w:w="2659"/>
        <w:gridCol w:w="5871"/>
        <w:gridCol w:w="1531"/>
      </w:tblGrid>
      <w:tr w:rsidR="00E66558" w14:paraId="2A7D5528" w14:textId="77777777" w:rsidTr="00354866">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9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4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35486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9EA0D" w14:textId="3F4CB2DE" w:rsidR="00E66558" w:rsidRPr="001361A7" w:rsidRDefault="00C05F4B">
            <w:pPr>
              <w:pStyle w:val="TableRow"/>
              <w:rPr>
                <w:sz w:val="20"/>
                <w:szCs w:val="20"/>
              </w:rPr>
            </w:pPr>
            <w:r w:rsidRPr="001361A7">
              <w:rPr>
                <w:sz w:val="20"/>
                <w:szCs w:val="20"/>
              </w:rPr>
              <w:t xml:space="preserve">Increase the number of </w:t>
            </w:r>
            <w:r w:rsidR="003A321F">
              <w:rPr>
                <w:sz w:val="20"/>
                <w:szCs w:val="20"/>
              </w:rPr>
              <w:t>STL</w:t>
            </w:r>
            <w:r w:rsidRPr="001361A7">
              <w:rPr>
                <w:sz w:val="20"/>
                <w:szCs w:val="20"/>
              </w:rPr>
              <w:t>As trained in Read Write Inc F</w:t>
            </w:r>
            <w:r w:rsidR="004A70B3">
              <w:rPr>
                <w:sz w:val="20"/>
                <w:szCs w:val="20"/>
              </w:rPr>
              <w:t>resh start</w:t>
            </w:r>
            <w:r w:rsidRPr="001361A7">
              <w:rPr>
                <w:sz w:val="20"/>
                <w:szCs w:val="20"/>
              </w:rPr>
              <w:t xml:space="preserve"> phonics</w:t>
            </w:r>
          </w:p>
          <w:p w14:paraId="6989DD9B" w14:textId="77777777" w:rsidR="002F76FE" w:rsidRPr="001361A7" w:rsidRDefault="002F76FE">
            <w:pPr>
              <w:pStyle w:val="TableRow"/>
              <w:rPr>
                <w:sz w:val="20"/>
                <w:szCs w:val="20"/>
              </w:rPr>
            </w:pPr>
          </w:p>
          <w:p w14:paraId="2A7D5529" w14:textId="4B8EFA1A" w:rsidR="002F76FE" w:rsidRPr="001361A7" w:rsidRDefault="002F76FE" w:rsidP="00CE3632">
            <w:pPr>
              <w:pStyle w:val="TableRow"/>
              <w:ind w:left="0"/>
              <w:rPr>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FB2C" w14:textId="386C9FD1" w:rsidR="00F67DBC" w:rsidRPr="00F67DBC" w:rsidRDefault="002C50D6" w:rsidP="00F67DBC">
            <w:pPr>
              <w:pStyle w:val="TableRowCentered"/>
              <w:jc w:val="left"/>
              <w:rPr>
                <w:sz w:val="20"/>
              </w:rPr>
            </w:pPr>
            <w:r>
              <w:rPr>
                <w:sz w:val="20"/>
              </w:rPr>
              <w:lastRenderedPageBreak/>
              <w:t>EEF Recommendation</w:t>
            </w:r>
            <w:r w:rsidR="00F67DBC">
              <w:rPr>
                <w:sz w:val="20"/>
              </w:rPr>
              <w:t xml:space="preserve"> with regards phonics: </w:t>
            </w:r>
            <w:r w:rsidR="00F67DBC" w:rsidRPr="00F67DBC">
              <w:rPr>
                <w:sz w:val="20"/>
              </w:rPr>
              <w:t xml:space="preserve">Studies in England have shown that pupils eligible for free school meals typically receive similar or slightly greater benefit from phonics interventions and approaches. This is likely to be due to the </w:t>
            </w:r>
            <w:r w:rsidR="00F67DBC" w:rsidRPr="00F67DBC">
              <w:rPr>
                <w:sz w:val="20"/>
              </w:rPr>
              <w:lastRenderedPageBreak/>
              <w:t>explicit nature of the instruction and the intensive support provided.</w:t>
            </w:r>
          </w:p>
          <w:p w14:paraId="2A7D552A" w14:textId="4AA65214" w:rsidR="00F67DBC" w:rsidRPr="001361A7" w:rsidRDefault="00F67DBC" w:rsidP="00F67DBC">
            <w:pPr>
              <w:pStyle w:val="TableRowCentered"/>
              <w:jc w:val="left"/>
              <w:rPr>
                <w:sz w:val="20"/>
              </w:rPr>
            </w:pPr>
            <w:r w:rsidRPr="00F67DBC">
              <w:rPr>
                <w:sz w:val="20"/>
              </w:rPr>
              <w:t>It is possible that some disadvantaged pupils may not develop phonological awareness at the same rate as other pupils, having been exposed to fewer words spoken and books read in the home. Targeted phonics interventions may therefore improve decoding skills more quickly for pupils who have experienced these barriers to learning.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66C51D1" w:rsidR="00E66558" w:rsidRPr="001361A7" w:rsidRDefault="00C05F4B">
            <w:pPr>
              <w:pStyle w:val="TableRowCentered"/>
              <w:jc w:val="left"/>
              <w:rPr>
                <w:sz w:val="20"/>
              </w:rPr>
            </w:pPr>
            <w:r w:rsidRPr="001361A7">
              <w:rPr>
                <w:sz w:val="20"/>
              </w:rPr>
              <w:lastRenderedPageBreak/>
              <w:t>2</w:t>
            </w:r>
            <w:r w:rsidR="00480531">
              <w:rPr>
                <w:sz w:val="20"/>
              </w:rPr>
              <w:t>, 3</w:t>
            </w:r>
          </w:p>
        </w:tc>
      </w:tr>
      <w:tr w:rsidR="00E66558" w14:paraId="2A7D5530" w14:textId="77777777" w:rsidTr="0035486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6981C327" w:rsidR="002F76FE" w:rsidRPr="001F1D6E" w:rsidRDefault="001F1D6E" w:rsidP="000D05D7">
            <w:pPr>
              <w:pStyle w:val="TableRow"/>
              <w:rPr>
                <w:iCs/>
                <w:sz w:val="20"/>
                <w:szCs w:val="20"/>
              </w:rPr>
            </w:pPr>
            <w:r w:rsidRPr="001F1D6E">
              <w:rPr>
                <w:iCs/>
                <w:sz w:val="20"/>
                <w:szCs w:val="20"/>
              </w:rPr>
              <w:t>BKSB</w:t>
            </w:r>
            <w:r w:rsidR="00B124DF">
              <w:rPr>
                <w:iCs/>
                <w:sz w:val="20"/>
                <w:szCs w:val="20"/>
              </w:rPr>
              <w:t xml:space="preserve"> to assess core skills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5FD47D1B" w:rsidR="00592790" w:rsidRPr="00592790" w:rsidRDefault="00894FF1" w:rsidP="00A83F7E">
            <w:pPr>
              <w:pStyle w:val="TableRowCentered"/>
              <w:jc w:val="left"/>
              <w:rPr>
                <w:rFonts w:cs="Arial"/>
                <w:sz w:val="20"/>
              </w:rPr>
            </w:pPr>
            <w:r>
              <w:rPr>
                <w:sz w:val="20"/>
              </w:rPr>
              <w:t xml:space="preserve">Teachers are able to use assessment of and for learning to measure progress if pupils have the systems to complete baseline assessments. This supports teaching and learning through high quality implementation. BKSB will provide </w:t>
            </w:r>
            <w:r w:rsidR="001E4C1F">
              <w:rPr>
                <w:sz w:val="20"/>
              </w:rPr>
              <w:t>teachers</w:t>
            </w:r>
            <w:r w:rsidR="0078514E">
              <w:rPr>
                <w:sz w:val="20"/>
              </w:rPr>
              <w:t xml:space="preserve"> with a strategy to assess gaps </w:t>
            </w:r>
            <w:r w:rsidR="00484765">
              <w:rPr>
                <w:sz w:val="20"/>
              </w:rPr>
              <w:t>so that there can be targeted support for pupils</w:t>
            </w:r>
            <w:r w:rsidR="00466131">
              <w:rPr>
                <w:sz w:val="20"/>
              </w:rPr>
              <w:t xml:space="preserve"> to work at their level.</w:t>
            </w:r>
            <w:r w:rsidR="0078514E">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168C3F74" w:rsidR="00E66558" w:rsidRPr="001361A7" w:rsidRDefault="00E07F57">
            <w:pPr>
              <w:pStyle w:val="TableRowCentered"/>
              <w:jc w:val="left"/>
              <w:rPr>
                <w:sz w:val="20"/>
              </w:rPr>
            </w:pPr>
            <w:r>
              <w:rPr>
                <w:sz w:val="20"/>
              </w:rPr>
              <w:t xml:space="preserve">1, </w:t>
            </w:r>
            <w:r w:rsidR="00C05F4B" w:rsidRPr="001361A7">
              <w:rPr>
                <w:sz w:val="20"/>
              </w:rPr>
              <w:t>2</w:t>
            </w:r>
            <w:r w:rsidR="00480531">
              <w:rPr>
                <w:sz w:val="20"/>
              </w:rPr>
              <w:t>, 3</w:t>
            </w:r>
          </w:p>
        </w:tc>
      </w:tr>
      <w:tr w:rsidR="00F32113" w14:paraId="38867B2C" w14:textId="77777777" w:rsidTr="0035486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D3F81" w14:textId="13A0A0D1" w:rsidR="00F32113" w:rsidRPr="001361A7" w:rsidRDefault="00F32113">
            <w:pPr>
              <w:pStyle w:val="TableRow"/>
              <w:rPr>
                <w:iCs/>
                <w:sz w:val="20"/>
                <w:szCs w:val="20"/>
              </w:rPr>
            </w:pPr>
            <w:r>
              <w:rPr>
                <w:iCs/>
                <w:sz w:val="20"/>
                <w:szCs w:val="20"/>
              </w:rPr>
              <w:t>Literacy activities embedded into the academy day</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A313F" w14:textId="633ECED7" w:rsidR="00F32113" w:rsidRPr="004B7A94" w:rsidRDefault="00AE0025">
            <w:pPr>
              <w:pStyle w:val="TableRowCentered"/>
              <w:jc w:val="left"/>
              <w:rPr>
                <w:rFonts w:cs="Arial"/>
                <w:sz w:val="20"/>
              </w:rPr>
            </w:pPr>
            <w:r>
              <w:rPr>
                <w:rFonts w:cs="Arial"/>
                <w:sz w:val="20"/>
              </w:rPr>
              <w:t xml:space="preserve">EEF: </w:t>
            </w:r>
            <w:r w:rsidRPr="00AE0025">
              <w:rPr>
                <w:rFonts w:cs="Arial"/>
                <w:sz w:val="20"/>
              </w:rPr>
              <w:t>Reading comprehension strategies are high impact on average (+6 months). Alongside phonics it is a crucial component of early reading instruction.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0219F" w14:textId="369CCD27" w:rsidR="00F32113" w:rsidRPr="001361A7" w:rsidRDefault="00170959">
            <w:pPr>
              <w:pStyle w:val="TableRowCentered"/>
              <w:jc w:val="left"/>
              <w:rPr>
                <w:sz w:val="20"/>
              </w:rPr>
            </w:pPr>
            <w:r>
              <w:rPr>
                <w:sz w:val="20"/>
              </w:rPr>
              <w:t>1, 2, 3</w:t>
            </w:r>
          </w:p>
        </w:tc>
      </w:tr>
    </w:tbl>
    <w:p w14:paraId="2A7D5531" w14:textId="77777777" w:rsidR="00E66558" w:rsidRDefault="00E66558">
      <w:pPr>
        <w:spacing w:after="0"/>
        <w:rPr>
          <w:b/>
          <w:color w:val="104F75"/>
          <w:sz w:val="28"/>
          <w:szCs w:val="28"/>
        </w:rPr>
      </w:pPr>
    </w:p>
    <w:p w14:paraId="2A7D5532" w14:textId="427239D5" w:rsidR="00E66558" w:rsidRDefault="009D71E8">
      <w:pPr>
        <w:rPr>
          <w:b/>
          <w:color w:val="104F75"/>
          <w:sz w:val="28"/>
          <w:szCs w:val="28"/>
        </w:rPr>
      </w:pPr>
      <w:r>
        <w:rPr>
          <w:b/>
          <w:color w:val="104F75"/>
          <w:sz w:val="28"/>
          <w:szCs w:val="28"/>
        </w:rPr>
        <w:t>Wider strategies (for example, related to attendance, behaviour, wellbeing)</w:t>
      </w:r>
    </w:p>
    <w:p w14:paraId="2A7D5533" w14:textId="469238EF" w:rsidR="00E66558" w:rsidRDefault="009D71E8">
      <w:pPr>
        <w:spacing w:before="240" w:after="120"/>
      </w:pPr>
      <w:r>
        <w:t>Budgeted cost: £</w:t>
      </w:r>
      <w:r w:rsidR="00345E20">
        <w:t>5</w:t>
      </w:r>
      <w:r w:rsidR="00466131">
        <w:t>0</w:t>
      </w:r>
      <w:r w:rsidR="003A321F">
        <w:t>,000</w:t>
      </w:r>
    </w:p>
    <w:tbl>
      <w:tblPr>
        <w:tblW w:w="5303" w:type="pct"/>
        <w:tblCellMar>
          <w:left w:w="10" w:type="dxa"/>
          <w:right w:w="10" w:type="dxa"/>
        </w:tblCellMar>
        <w:tblLook w:val="04A0" w:firstRow="1" w:lastRow="0" w:firstColumn="1" w:lastColumn="0" w:noHBand="0" w:noVBand="1"/>
      </w:tblPr>
      <w:tblGrid>
        <w:gridCol w:w="2628"/>
        <w:gridCol w:w="5872"/>
        <w:gridCol w:w="1561"/>
      </w:tblGrid>
      <w:tr w:rsidR="00E66558" w14:paraId="2A7D5537" w14:textId="77777777" w:rsidTr="00354866">
        <w:tc>
          <w:tcPr>
            <w:tcW w:w="26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58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6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354866">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A7690" w14:textId="43D0CC6D" w:rsidR="002F76FE" w:rsidRPr="001361A7" w:rsidRDefault="00C05F4B" w:rsidP="00C05F4B">
            <w:pPr>
              <w:pStyle w:val="TableRow"/>
              <w:ind w:left="0"/>
              <w:rPr>
                <w:sz w:val="20"/>
                <w:szCs w:val="20"/>
              </w:rPr>
            </w:pPr>
            <w:r w:rsidRPr="001361A7">
              <w:rPr>
                <w:sz w:val="20"/>
                <w:szCs w:val="20"/>
              </w:rPr>
              <w:t xml:space="preserve">Behaviour and </w:t>
            </w:r>
            <w:r w:rsidR="007B5295">
              <w:rPr>
                <w:sz w:val="20"/>
                <w:szCs w:val="20"/>
              </w:rPr>
              <w:t xml:space="preserve">resilience </w:t>
            </w:r>
            <w:r w:rsidR="000E7BB9">
              <w:rPr>
                <w:sz w:val="20"/>
                <w:szCs w:val="20"/>
              </w:rPr>
              <w:t>lessons</w:t>
            </w:r>
            <w:r w:rsidR="00733C96">
              <w:rPr>
                <w:sz w:val="20"/>
                <w:szCs w:val="20"/>
              </w:rPr>
              <w:t xml:space="preserve"> and activities for pupils</w:t>
            </w:r>
          </w:p>
          <w:p w14:paraId="2F5D2C38" w14:textId="77777777" w:rsidR="002F76FE" w:rsidRPr="001361A7" w:rsidRDefault="002F76FE">
            <w:pPr>
              <w:pStyle w:val="TableRow"/>
              <w:rPr>
                <w:i/>
                <w:iCs/>
                <w:sz w:val="20"/>
                <w:szCs w:val="20"/>
              </w:rPr>
            </w:pPr>
          </w:p>
          <w:p w14:paraId="2A7D5538" w14:textId="68A8D0BF" w:rsidR="002F76FE" w:rsidRPr="001361A7" w:rsidRDefault="002F76FE">
            <w:pPr>
              <w:pStyle w:val="TableRow"/>
              <w:rPr>
                <w:sz w:val="20"/>
                <w:szCs w:val="20"/>
              </w:rPr>
            </w:pPr>
          </w:p>
        </w:tc>
        <w:tc>
          <w:tcPr>
            <w:tcW w:w="5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1F4C8" w14:textId="76B3E20A" w:rsidR="00E66558" w:rsidRDefault="001361A7">
            <w:pPr>
              <w:pStyle w:val="TableRowCentered"/>
              <w:jc w:val="left"/>
              <w:rPr>
                <w:sz w:val="20"/>
              </w:rPr>
            </w:pPr>
            <w:r w:rsidRPr="001361A7">
              <w:rPr>
                <w:sz w:val="20"/>
              </w:rPr>
              <w:t>Recognised framework</w:t>
            </w:r>
            <w:r>
              <w:rPr>
                <w:sz w:val="20"/>
              </w:rPr>
              <w:t>s</w:t>
            </w:r>
            <w:r w:rsidRPr="001361A7">
              <w:rPr>
                <w:sz w:val="20"/>
              </w:rPr>
              <w:t xml:space="preserve"> and curriculum for </w:t>
            </w:r>
            <w:r w:rsidR="00AE0354">
              <w:rPr>
                <w:sz w:val="20"/>
              </w:rPr>
              <w:t xml:space="preserve">support and </w:t>
            </w:r>
            <w:r w:rsidRPr="001361A7">
              <w:rPr>
                <w:sz w:val="20"/>
              </w:rPr>
              <w:t>emotional regulation</w:t>
            </w:r>
            <w:r w:rsidR="000D432A">
              <w:rPr>
                <w:sz w:val="20"/>
              </w:rPr>
              <w:t xml:space="preserve"> to encourage engagement</w:t>
            </w:r>
            <w:r w:rsidRPr="001361A7">
              <w:rPr>
                <w:sz w:val="20"/>
              </w:rPr>
              <w:t>.</w:t>
            </w:r>
          </w:p>
          <w:p w14:paraId="2E75E2C2" w14:textId="77777777" w:rsidR="00327C80" w:rsidRDefault="00327C80">
            <w:pPr>
              <w:pStyle w:val="TableRowCentered"/>
              <w:jc w:val="left"/>
              <w:rPr>
                <w:sz w:val="20"/>
              </w:rPr>
            </w:pPr>
            <w:r>
              <w:rPr>
                <w:sz w:val="20"/>
              </w:rPr>
              <w:t>EEF</w:t>
            </w:r>
            <w:r w:rsidR="003D6D50">
              <w:rPr>
                <w:sz w:val="20"/>
              </w:rPr>
              <w:t xml:space="preserve"> </w:t>
            </w:r>
            <w:r>
              <w:rPr>
                <w:sz w:val="20"/>
              </w:rPr>
              <w:t>‘Improving behaviour in Schools’ identifies how simple routines consistently applied have an impact. Whilst this is a behaviour recommendation, it translates to attendance, as some attendance issues are learned behaviours.</w:t>
            </w:r>
          </w:p>
          <w:p w14:paraId="633AF97D" w14:textId="77777777" w:rsidR="008A2B36" w:rsidRDefault="008A2B36">
            <w:pPr>
              <w:pStyle w:val="TableRowCentered"/>
              <w:jc w:val="left"/>
              <w:rPr>
                <w:sz w:val="20"/>
              </w:rPr>
            </w:pPr>
            <w:r>
              <w:rPr>
                <w:sz w:val="20"/>
              </w:rPr>
              <w:t>Pupils who have improved resilience</w:t>
            </w:r>
            <w:r w:rsidR="00557AA3">
              <w:rPr>
                <w:sz w:val="20"/>
              </w:rPr>
              <w:t xml:space="preserve"> will be better able to learn and engage in education.</w:t>
            </w:r>
            <w:r>
              <w:rPr>
                <w:sz w:val="20"/>
              </w:rPr>
              <w:t xml:space="preserve"> </w:t>
            </w:r>
          </w:p>
          <w:p w14:paraId="2A7D5539" w14:textId="096754B1" w:rsidR="00733C96" w:rsidRPr="001361A7" w:rsidRDefault="00733C96">
            <w:pPr>
              <w:pStyle w:val="TableRowCentered"/>
              <w:jc w:val="left"/>
              <w:rPr>
                <w:sz w:val="20"/>
              </w:rPr>
            </w:pPr>
            <w:r>
              <w:rPr>
                <w:sz w:val="20"/>
              </w:rPr>
              <w:t>Pupils will engage in boxing and TFTF weekly lessons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7FF0205" w:rsidR="00E66558" w:rsidRPr="001361A7" w:rsidRDefault="00C05F4B">
            <w:pPr>
              <w:pStyle w:val="TableRowCentered"/>
              <w:jc w:val="left"/>
              <w:rPr>
                <w:sz w:val="20"/>
              </w:rPr>
            </w:pPr>
            <w:r w:rsidRPr="001361A7">
              <w:rPr>
                <w:sz w:val="20"/>
              </w:rPr>
              <w:t>3</w:t>
            </w:r>
            <w:r w:rsidR="00BC6631">
              <w:rPr>
                <w:sz w:val="20"/>
              </w:rPr>
              <w:t>, 7</w:t>
            </w:r>
          </w:p>
        </w:tc>
      </w:tr>
      <w:tr w:rsidR="00CE3632" w14:paraId="533F9A50" w14:textId="77777777" w:rsidTr="00354866">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458F0" w14:textId="0495F88E" w:rsidR="00CE3632" w:rsidRDefault="00CE3632">
            <w:pPr>
              <w:pStyle w:val="TableRow"/>
              <w:rPr>
                <w:iCs/>
                <w:sz w:val="20"/>
                <w:szCs w:val="20"/>
              </w:rPr>
            </w:pPr>
            <w:r w:rsidRPr="001361A7">
              <w:rPr>
                <w:iCs/>
                <w:sz w:val="20"/>
                <w:szCs w:val="20"/>
              </w:rPr>
              <w:t>Attendance:</w:t>
            </w:r>
          </w:p>
          <w:p w14:paraId="5553B861" w14:textId="7DA9CB8F" w:rsidR="001361A7" w:rsidRDefault="001361A7" w:rsidP="001361A7">
            <w:pPr>
              <w:pStyle w:val="TableRow"/>
              <w:numPr>
                <w:ilvl w:val="0"/>
                <w:numId w:val="17"/>
              </w:numPr>
              <w:rPr>
                <w:iCs/>
                <w:sz w:val="20"/>
                <w:szCs w:val="20"/>
              </w:rPr>
            </w:pPr>
            <w:r>
              <w:rPr>
                <w:iCs/>
                <w:sz w:val="20"/>
                <w:szCs w:val="20"/>
              </w:rPr>
              <w:t>Breakfast provision for pupils</w:t>
            </w:r>
          </w:p>
          <w:p w14:paraId="75F32522" w14:textId="4D2AE6D0" w:rsidR="00A22A8A" w:rsidRPr="001361A7" w:rsidRDefault="00A22A8A" w:rsidP="001361A7">
            <w:pPr>
              <w:pStyle w:val="TableRow"/>
              <w:numPr>
                <w:ilvl w:val="0"/>
                <w:numId w:val="17"/>
              </w:numPr>
              <w:rPr>
                <w:iCs/>
                <w:sz w:val="20"/>
                <w:szCs w:val="20"/>
              </w:rPr>
            </w:pPr>
            <w:r>
              <w:rPr>
                <w:iCs/>
                <w:sz w:val="20"/>
                <w:szCs w:val="20"/>
              </w:rPr>
              <w:t>Rewards</w:t>
            </w:r>
          </w:p>
          <w:p w14:paraId="3CC3C79A" w14:textId="4A0FDAA9" w:rsidR="00CE3632" w:rsidRPr="001361A7" w:rsidRDefault="00CE3632">
            <w:pPr>
              <w:pStyle w:val="TableRow"/>
              <w:rPr>
                <w:iCs/>
                <w:sz w:val="20"/>
                <w:szCs w:val="20"/>
              </w:rPr>
            </w:pPr>
          </w:p>
        </w:tc>
        <w:tc>
          <w:tcPr>
            <w:tcW w:w="5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A899A" w14:textId="19E034F6" w:rsidR="004C73F7" w:rsidRDefault="004C73F7">
            <w:pPr>
              <w:pStyle w:val="TableRowCentered"/>
              <w:jc w:val="left"/>
              <w:rPr>
                <w:sz w:val="20"/>
              </w:rPr>
            </w:pPr>
            <w:r>
              <w:rPr>
                <w:sz w:val="20"/>
              </w:rPr>
              <w:t>Meeting the most basic needs and removing simple barriers to attendance, engagement and participation are a cornerstone of any pastoral approach.</w:t>
            </w:r>
            <w:r w:rsidR="003F1003">
              <w:rPr>
                <w:sz w:val="20"/>
              </w:rPr>
              <w:t xml:space="preserve"> Encouragement and praise for improved attendance</w:t>
            </w:r>
            <w:r w:rsidR="00552F16">
              <w:rPr>
                <w:sz w:val="20"/>
              </w:rPr>
              <w:t>.</w:t>
            </w:r>
            <w:r w:rsidR="00733C96">
              <w:rPr>
                <w:sz w:val="20"/>
              </w:rPr>
              <w:t xml:space="preserve"> </w:t>
            </w:r>
          </w:p>
          <w:p w14:paraId="3DCD36FD" w14:textId="11CCECEC" w:rsidR="004C73F7" w:rsidRPr="001361A7" w:rsidRDefault="004C73F7">
            <w:pPr>
              <w:pStyle w:val="TableRowCentered"/>
              <w:jc w:val="left"/>
              <w:rPr>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34BCD" w14:textId="1E2A1E21" w:rsidR="00CE3632" w:rsidRPr="001361A7" w:rsidRDefault="00CE3632">
            <w:pPr>
              <w:pStyle w:val="TableRowCentered"/>
              <w:jc w:val="left"/>
              <w:rPr>
                <w:sz w:val="20"/>
              </w:rPr>
            </w:pPr>
            <w:r w:rsidRPr="001361A7">
              <w:rPr>
                <w:sz w:val="20"/>
              </w:rPr>
              <w:t>4</w:t>
            </w:r>
            <w:r w:rsidR="001361A7">
              <w:rPr>
                <w:sz w:val="20"/>
              </w:rPr>
              <w:t>, 5</w:t>
            </w:r>
            <w:r w:rsidR="00A0557F">
              <w:rPr>
                <w:sz w:val="20"/>
              </w:rPr>
              <w:t>, 6</w:t>
            </w:r>
          </w:p>
        </w:tc>
      </w:tr>
      <w:tr w:rsidR="00FD19D6" w14:paraId="7F706928" w14:textId="77777777" w:rsidTr="00354866">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C5FF2" w14:textId="3299C83F" w:rsidR="00FD19D6" w:rsidRPr="001361A7" w:rsidRDefault="00FD19D6" w:rsidP="00733C96">
            <w:pPr>
              <w:pStyle w:val="TableRow"/>
              <w:rPr>
                <w:iCs/>
                <w:sz w:val="20"/>
                <w:szCs w:val="20"/>
              </w:rPr>
            </w:pPr>
            <w:r>
              <w:rPr>
                <w:iCs/>
                <w:sz w:val="20"/>
                <w:szCs w:val="20"/>
              </w:rPr>
              <w:t>Ensuring that pupils have the clothing and equipment they need to access school</w:t>
            </w:r>
          </w:p>
        </w:tc>
        <w:tc>
          <w:tcPr>
            <w:tcW w:w="5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0719D" w14:textId="77777777" w:rsidR="00FD19D6" w:rsidRDefault="00544E7D">
            <w:pPr>
              <w:pStyle w:val="TableRowCentered"/>
              <w:jc w:val="left"/>
              <w:rPr>
                <w:sz w:val="20"/>
              </w:rPr>
            </w:pPr>
            <w:r>
              <w:rPr>
                <w:sz w:val="20"/>
              </w:rPr>
              <w:t>Providing PPE for work experience and arts</w:t>
            </w:r>
            <w:r w:rsidR="009B2615">
              <w:rPr>
                <w:sz w:val="20"/>
              </w:rPr>
              <w:t>/forest education</w:t>
            </w:r>
          </w:p>
          <w:p w14:paraId="4F99675B" w14:textId="721E4871" w:rsidR="009B2615" w:rsidRDefault="009B2615">
            <w:pPr>
              <w:pStyle w:val="TableRowCentered"/>
              <w:jc w:val="left"/>
              <w:rPr>
                <w:sz w:val="20"/>
              </w:rPr>
            </w:pPr>
            <w:r>
              <w:rPr>
                <w:sz w:val="20"/>
              </w:rPr>
              <w:t>School uniform provis</w:t>
            </w:r>
            <w:r w:rsidR="00B85D5E">
              <w:rPr>
                <w:sz w:val="20"/>
              </w:rPr>
              <w:t>i</w:t>
            </w:r>
            <w:r>
              <w:rPr>
                <w:sz w:val="20"/>
              </w:rPr>
              <w:t>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F00D9" w14:textId="21E1E516" w:rsidR="00FD19D6" w:rsidRPr="001361A7" w:rsidRDefault="00B85D5E">
            <w:pPr>
              <w:pStyle w:val="TableRowCentered"/>
              <w:jc w:val="left"/>
              <w:rPr>
                <w:sz w:val="20"/>
              </w:rPr>
            </w:pPr>
            <w:r>
              <w:rPr>
                <w:sz w:val="20"/>
              </w:rPr>
              <w:t>4</w:t>
            </w:r>
          </w:p>
        </w:tc>
      </w:tr>
      <w:tr w:rsidR="002F76FE" w14:paraId="2BDF7FFE" w14:textId="77777777" w:rsidTr="00354866">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E6D62" w14:textId="6C50DF09" w:rsidR="002F76FE" w:rsidRPr="001361A7" w:rsidRDefault="00CE3632">
            <w:pPr>
              <w:pStyle w:val="TableRow"/>
              <w:rPr>
                <w:i/>
                <w:sz w:val="20"/>
                <w:szCs w:val="20"/>
              </w:rPr>
            </w:pPr>
            <w:r w:rsidRPr="001361A7">
              <w:rPr>
                <w:iCs/>
                <w:sz w:val="20"/>
                <w:szCs w:val="20"/>
              </w:rPr>
              <w:t>Supporting LAC pupil</w:t>
            </w:r>
            <w:r w:rsidR="008116A3">
              <w:rPr>
                <w:iCs/>
                <w:sz w:val="20"/>
                <w:szCs w:val="20"/>
              </w:rPr>
              <w:t>s</w:t>
            </w:r>
            <w:r w:rsidRPr="001361A7">
              <w:rPr>
                <w:iCs/>
                <w:sz w:val="20"/>
                <w:szCs w:val="20"/>
              </w:rPr>
              <w:t xml:space="preserve"> </w:t>
            </w:r>
            <w:r w:rsidR="00354866">
              <w:rPr>
                <w:iCs/>
                <w:sz w:val="20"/>
                <w:szCs w:val="20"/>
              </w:rPr>
              <w:t xml:space="preserve"> </w:t>
            </w:r>
          </w:p>
          <w:p w14:paraId="3C19441C" w14:textId="77777777" w:rsidR="002F76FE" w:rsidRPr="001361A7" w:rsidRDefault="002F76FE">
            <w:pPr>
              <w:pStyle w:val="TableRow"/>
              <w:rPr>
                <w:i/>
                <w:sz w:val="20"/>
                <w:szCs w:val="20"/>
              </w:rPr>
            </w:pPr>
          </w:p>
          <w:p w14:paraId="4DF0ED3D" w14:textId="4FB70A77" w:rsidR="002F76FE" w:rsidRPr="001361A7" w:rsidRDefault="002F76FE">
            <w:pPr>
              <w:pStyle w:val="TableRow"/>
              <w:rPr>
                <w:i/>
                <w:sz w:val="20"/>
                <w:szCs w:val="20"/>
              </w:rPr>
            </w:pPr>
          </w:p>
        </w:tc>
        <w:tc>
          <w:tcPr>
            <w:tcW w:w="5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A0937" w14:textId="61379DB3" w:rsidR="002F76FE" w:rsidRPr="001361A7" w:rsidRDefault="00EB5AFD">
            <w:pPr>
              <w:pStyle w:val="TableRowCentered"/>
              <w:jc w:val="left"/>
              <w:rPr>
                <w:sz w:val="20"/>
              </w:rPr>
            </w:pPr>
            <w:r>
              <w:rPr>
                <w:sz w:val="20"/>
              </w:rPr>
              <w:t>Ensuring that education can be maintained with frequent instability in living arrangements with a blended learning offer with access to a laptop</w:t>
            </w:r>
            <w:r w:rsidR="00354866">
              <w:rPr>
                <w:sz w:val="20"/>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04478" w14:textId="06138E6D" w:rsidR="002F76FE" w:rsidRPr="001361A7" w:rsidRDefault="001361A7">
            <w:pPr>
              <w:pStyle w:val="TableRowCentered"/>
              <w:jc w:val="left"/>
              <w:rPr>
                <w:sz w:val="20"/>
              </w:rPr>
            </w:pPr>
            <w:r>
              <w:rPr>
                <w:sz w:val="20"/>
              </w:rPr>
              <w:t>6</w:t>
            </w:r>
          </w:p>
        </w:tc>
      </w:tr>
    </w:tbl>
    <w:p w14:paraId="2A7D5540" w14:textId="77777777" w:rsidR="00E66558" w:rsidRDefault="00E66558">
      <w:pPr>
        <w:spacing w:before="240" w:after="0"/>
        <w:rPr>
          <w:b/>
          <w:bCs/>
          <w:color w:val="104F75"/>
          <w:sz w:val="28"/>
          <w:szCs w:val="28"/>
        </w:rPr>
      </w:pPr>
    </w:p>
    <w:p w14:paraId="2A7D5541" w14:textId="600B26EE" w:rsidR="00E66558" w:rsidRDefault="009D71E8" w:rsidP="00120AB1">
      <w:r>
        <w:rPr>
          <w:b/>
          <w:bCs/>
          <w:color w:val="104F75"/>
          <w:sz w:val="28"/>
          <w:szCs w:val="28"/>
        </w:rPr>
        <w:t>Total budgeted cost: £</w:t>
      </w:r>
      <w:r w:rsidR="00776C95">
        <w:rPr>
          <w:b/>
          <w:bCs/>
          <w:color w:val="104F75"/>
          <w:sz w:val="28"/>
          <w:szCs w:val="28"/>
        </w:rPr>
        <w:t>7</w:t>
      </w:r>
      <w:r w:rsidR="001361A7">
        <w:rPr>
          <w:b/>
          <w:bCs/>
          <w:color w:val="104F75"/>
          <w:sz w:val="28"/>
          <w:szCs w:val="28"/>
        </w:rPr>
        <w:t>9,500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49DB90E1" w:rsidR="00E66558" w:rsidRDefault="009D71E8">
      <w:r>
        <w:t>This details the impact that our pupil premium activity had on pupils in the 202</w:t>
      </w:r>
      <w:r w:rsidR="00240792">
        <w:t>1</w:t>
      </w:r>
      <w:r>
        <w:t xml:space="preserve"> to 202</w:t>
      </w:r>
      <w:r w:rsidR="00240792">
        <w:t>2</w:t>
      </w:r>
      <w:r>
        <w:t xml:space="preserve"> academic year. </w:t>
      </w:r>
    </w:p>
    <w:tbl>
      <w:tblPr>
        <w:tblW w:w="9493" w:type="dxa"/>
        <w:tblCellMar>
          <w:left w:w="10" w:type="dxa"/>
          <w:right w:w="10" w:type="dxa"/>
        </w:tblCellMar>
        <w:tblLook w:val="04A0" w:firstRow="1" w:lastRow="0" w:firstColumn="1" w:lastColumn="0" w:noHBand="0" w:noVBand="1"/>
      </w:tblPr>
      <w:tblGrid>
        <w:gridCol w:w="10286"/>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142A1" w14:textId="3017E048" w:rsidR="002F76FE" w:rsidRPr="002F76FE" w:rsidRDefault="002F76FE" w:rsidP="002F76FE">
            <w:pPr>
              <w:spacing w:after="0"/>
              <w:rPr>
                <w:rFonts w:cs="Arial"/>
                <w:b/>
                <w:sz w:val="20"/>
                <w:szCs w:val="20"/>
              </w:rPr>
            </w:pPr>
            <w:r w:rsidRPr="002F76FE">
              <w:rPr>
                <w:rFonts w:cs="Arial"/>
                <w:b/>
                <w:sz w:val="20"/>
                <w:szCs w:val="20"/>
              </w:rPr>
              <w:t>Measuring Impact</w:t>
            </w:r>
          </w:p>
          <w:p w14:paraId="3035D695" w14:textId="77777777" w:rsidR="002F76FE" w:rsidRPr="002F76FE" w:rsidRDefault="002F76FE" w:rsidP="002F76FE">
            <w:pPr>
              <w:spacing w:after="0"/>
              <w:rPr>
                <w:rFonts w:cs="Arial"/>
                <w:sz w:val="20"/>
                <w:szCs w:val="20"/>
              </w:rPr>
            </w:pPr>
          </w:p>
          <w:p w14:paraId="1C75DF88" w14:textId="5A729D4E" w:rsidR="002F76FE" w:rsidRPr="002F76FE" w:rsidRDefault="002F76FE" w:rsidP="002F76FE">
            <w:pPr>
              <w:spacing w:after="0"/>
              <w:jc w:val="both"/>
              <w:rPr>
                <w:rFonts w:cs="Arial"/>
                <w:sz w:val="20"/>
                <w:szCs w:val="20"/>
              </w:rPr>
            </w:pPr>
            <w:r w:rsidRPr="002F76FE">
              <w:rPr>
                <w:rFonts w:cs="Arial"/>
                <w:sz w:val="20"/>
                <w:szCs w:val="20"/>
              </w:rPr>
              <w:t xml:space="preserve">Last year we spent </w:t>
            </w:r>
            <w:r w:rsidR="00D551F1">
              <w:rPr>
                <w:rFonts w:cs="Arial"/>
                <w:sz w:val="20"/>
                <w:szCs w:val="20"/>
              </w:rPr>
              <w:t xml:space="preserve">the majority of </w:t>
            </w:r>
            <w:r w:rsidRPr="002F76FE">
              <w:rPr>
                <w:rFonts w:cs="Arial"/>
                <w:sz w:val="20"/>
                <w:szCs w:val="20"/>
              </w:rPr>
              <w:t xml:space="preserve">our pupil premium funding on supporting the </w:t>
            </w:r>
            <w:r w:rsidR="004A7CEC">
              <w:rPr>
                <w:rFonts w:cs="Arial"/>
                <w:sz w:val="20"/>
                <w:szCs w:val="20"/>
              </w:rPr>
              <w:t>development of wider strategies to support our</w:t>
            </w:r>
            <w:r w:rsidRPr="002F76FE">
              <w:rPr>
                <w:rFonts w:cs="Arial"/>
                <w:sz w:val="20"/>
                <w:szCs w:val="20"/>
              </w:rPr>
              <w:t xml:space="preserve"> most vulnerable pupils</w:t>
            </w:r>
            <w:r w:rsidR="00D551F1">
              <w:rPr>
                <w:rFonts w:cs="Arial"/>
                <w:sz w:val="20"/>
                <w:szCs w:val="20"/>
              </w:rPr>
              <w:t xml:space="preserve"> </w:t>
            </w:r>
            <w:r w:rsidRPr="002F76FE">
              <w:rPr>
                <w:rFonts w:cs="Arial"/>
                <w:sz w:val="20"/>
                <w:szCs w:val="20"/>
              </w:rPr>
              <w:t xml:space="preserve">to </w:t>
            </w:r>
            <w:r w:rsidR="00D551F1">
              <w:rPr>
                <w:rFonts w:cs="Arial"/>
                <w:sz w:val="20"/>
                <w:szCs w:val="20"/>
              </w:rPr>
              <w:t>develop</w:t>
            </w:r>
            <w:r w:rsidRPr="002F76FE">
              <w:rPr>
                <w:rFonts w:cs="Arial"/>
                <w:sz w:val="20"/>
                <w:szCs w:val="20"/>
              </w:rPr>
              <w:t xml:space="preserve"> </w:t>
            </w:r>
            <w:r w:rsidR="00524FEA">
              <w:rPr>
                <w:rFonts w:cs="Arial"/>
                <w:sz w:val="20"/>
                <w:szCs w:val="20"/>
              </w:rPr>
              <w:t>their behaviour, social and emotional regul</w:t>
            </w:r>
            <w:r w:rsidR="00CC0D94">
              <w:rPr>
                <w:rFonts w:cs="Arial"/>
                <w:sz w:val="20"/>
                <w:szCs w:val="20"/>
              </w:rPr>
              <w:t>a</w:t>
            </w:r>
            <w:r w:rsidR="00524FEA">
              <w:rPr>
                <w:rFonts w:cs="Arial"/>
                <w:sz w:val="20"/>
                <w:szCs w:val="20"/>
              </w:rPr>
              <w:t>tions to increase their ability to engage in education</w:t>
            </w:r>
            <w:r w:rsidR="009D1362">
              <w:rPr>
                <w:rFonts w:cs="Arial"/>
                <w:sz w:val="20"/>
                <w:szCs w:val="20"/>
              </w:rPr>
              <w:t xml:space="preserve"> after COVID</w:t>
            </w:r>
            <w:r w:rsidRPr="002F76FE">
              <w:rPr>
                <w:rFonts w:cs="Arial"/>
                <w:sz w:val="20"/>
                <w:szCs w:val="20"/>
              </w:rPr>
              <w:t xml:space="preserve">. As a strategy, pupil premium funding is used at NEDSC to support emotional resilience, to re-engage and support young people through bespoke curricula that best meets the needs that could not be met in mainstream. Additionally, funding was spent on specific interventions for </w:t>
            </w:r>
            <w:r w:rsidR="00914DF4">
              <w:rPr>
                <w:rFonts w:cs="Arial"/>
                <w:sz w:val="20"/>
                <w:szCs w:val="20"/>
              </w:rPr>
              <w:t xml:space="preserve">Think for the Future behaviour and resilience mentoring </w:t>
            </w:r>
            <w:r w:rsidR="00D077AB">
              <w:rPr>
                <w:rFonts w:cs="Arial"/>
                <w:sz w:val="20"/>
                <w:szCs w:val="20"/>
              </w:rPr>
              <w:t xml:space="preserve">and </w:t>
            </w:r>
            <w:r w:rsidR="00F76920">
              <w:rPr>
                <w:rFonts w:cs="Arial"/>
                <w:sz w:val="20"/>
                <w:szCs w:val="20"/>
              </w:rPr>
              <w:t xml:space="preserve">a commissioned boxing company to </w:t>
            </w:r>
            <w:r w:rsidR="002951ED">
              <w:rPr>
                <w:rFonts w:cs="Arial"/>
                <w:sz w:val="20"/>
                <w:szCs w:val="20"/>
              </w:rPr>
              <w:t>increase physical activity whilst devel</w:t>
            </w:r>
            <w:r w:rsidR="00834C67">
              <w:rPr>
                <w:rFonts w:cs="Arial"/>
                <w:sz w:val="20"/>
                <w:szCs w:val="20"/>
              </w:rPr>
              <w:t>op</w:t>
            </w:r>
            <w:r w:rsidR="002951ED">
              <w:rPr>
                <w:rFonts w:cs="Arial"/>
                <w:sz w:val="20"/>
                <w:szCs w:val="20"/>
              </w:rPr>
              <w:t>ing self</w:t>
            </w:r>
            <w:r w:rsidR="00834C67">
              <w:rPr>
                <w:rFonts w:cs="Arial"/>
                <w:sz w:val="20"/>
                <w:szCs w:val="20"/>
              </w:rPr>
              <w:t>- control and restraint</w:t>
            </w:r>
            <w:r w:rsidRPr="002F76FE">
              <w:rPr>
                <w:rFonts w:cs="Arial"/>
                <w:sz w:val="20"/>
                <w:szCs w:val="20"/>
              </w:rPr>
              <w:t>.</w:t>
            </w:r>
          </w:p>
          <w:p w14:paraId="710D303B" w14:textId="77777777" w:rsidR="002F76FE" w:rsidRPr="002F76FE" w:rsidRDefault="002F76FE" w:rsidP="002F76FE">
            <w:pPr>
              <w:spacing w:after="0"/>
              <w:jc w:val="both"/>
              <w:rPr>
                <w:rFonts w:cs="Arial"/>
                <w:sz w:val="20"/>
                <w:szCs w:val="20"/>
              </w:rPr>
            </w:pPr>
          </w:p>
          <w:p w14:paraId="220040BF" w14:textId="4BCA346A" w:rsidR="002F76FE" w:rsidRPr="002F76FE" w:rsidRDefault="002F76FE" w:rsidP="002F76FE">
            <w:pPr>
              <w:spacing w:after="0"/>
              <w:jc w:val="both"/>
              <w:rPr>
                <w:rFonts w:cs="Arial"/>
                <w:sz w:val="20"/>
                <w:szCs w:val="20"/>
              </w:rPr>
            </w:pPr>
            <w:r w:rsidRPr="002F76FE">
              <w:rPr>
                <w:rFonts w:cs="Arial"/>
                <w:sz w:val="20"/>
                <w:szCs w:val="20"/>
              </w:rPr>
              <w:t xml:space="preserve">A key performance indicator for pupils at NEDSC is the extent to which young people move on to a positive destination when they leave the </w:t>
            </w:r>
            <w:r w:rsidR="00A55B3A">
              <w:rPr>
                <w:rFonts w:cs="Arial"/>
                <w:sz w:val="20"/>
                <w:szCs w:val="20"/>
              </w:rPr>
              <w:t>academy</w:t>
            </w:r>
            <w:r w:rsidRPr="002F76FE">
              <w:rPr>
                <w:rFonts w:cs="Arial"/>
                <w:sz w:val="20"/>
                <w:szCs w:val="20"/>
              </w:rPr>
              <w:t xml:space="preserve">. For year 11 leavers in the </w:t>
            </w:r>
            <w:r w:rsidR="007079D8">
              <w:rPr>
                <w:rFonts w:cs="Arial"/>
                <w:sz w:val="20"/>
                <w:szCs w:val="20"/>
              </w:rPr>
              <w:t>previous</w:t>
            </w:r>
            <w:r w:rsidRPr="002F76FE">
              <w:rPr>
                <w:rFonts w:cs="Arial"/>
                <w:sz w:val="20"/>
                <w:szCs w:val="20"/>
              </w:rPr>
              <w:t xml:space="preserve"> two years, the percentage of pupils leaving for a positive destination has been 92% and 94% respectively.</w:t>
            </w:r>
            <w:r w:rsidR="007079D8">
              <w:rPr>
                <w:rFonts w:cs="Arial"/>
                <w:sz w:val="20"/>
                <w:szCs w:val="20"/>
              </w:rPr>
              <w:t xml:space="preserve"> </w:t>
            </w:r>
            <w:r w:rsidR="0036160B">
              <w:rPr>
                <w:rFonts w:cs="Arial"/>
                <w:sz w:val="20"/>
                <w:szCs w:val="20"/>
              </w:rPr>
              <w:t xml:space="preserve">From the 2021-22 year 11 cohort, </w:t>
            </w:r>
            <w:r w:rsidR="007079D8">
              <w:rPr>
                <w:rFonts w:cs="Arial"/>
                <w:sz w:val="20"/>
                <w:szCs w:val="20"/>
              </w:rPr>
              <w:t>97% of pupils (29/30) have a planned destination for post 16.</w:t>
            </w:r>
          </w:p>
          <w:p w14:paraId="7EC095DB" w14:textId="77777777" w:rsidR="002F76FE" w:rsidRPr="002F76FE" w:rsidRDefault="002F76FE" w:rsidP="002F76FE">
            <w:pPr>
              <w:spacing w:after="0"/>
              <w:rPr>
                <w:rFonts w:cs="Arial"/>
                <w:sz w:val="20"/>
                <w:szCs w:val="20"/>
              </w:rPr>
            </w:pPr>
          </w:p>
          <w:p w14:paraId="3D41F4C9" w14:textId="4B294346" w:rsidR="002F76FE" w:rsidRDefault="002F76FE" w:rsidP="002F76FE">
            <w:pPr>
              <w:spacing w:after="0"/>
              <w:rPr>
                <w:rFonts w:cs="Arial"/>
                <w:b/>
                <w:bCs/>
                <w:sz w:val="20"/>
                <w:szCs w:val="20"/>
              </w:rPr>
            </w:pPr>
            <w:r w:rsidRPr="002F76FE">
              <w:rPr>
                <w:rFonts w:cs="Arial"/>
                <w:sz w:val="20"/>
                <w:szCs w:val="20"/>
              </w:rPr>
              <w:t xml:space="preserve">Positive Destinations: </w:t>
            </w:r>
            <w:r w:rsidR="005130F3" w:rsidRPr="0036160B">
              <w:rPr>
                <w:rFonts w:cs="Arial"/>
                <w:sz w:val="20"/>
                <w:szCs w:val="20"/>
              </w:rPr>
              <w:t>9</w:t>
            </w:r>
            <w:r w:rsidR="0036160B" w:rsidRPr="0036160B">
              <w:rPr>
                <w:rFonts w:cs="Arial"/>
                <w:sz w:val="20"/>
                <w:szCs w:val="20"/>
              </w:rPr>
              <w:t>7</w:t>
            </w:r>
            <w:r w:rsidR="005130F3" w:rsidRPr="0036160B">
              <w:rPr>
                <w:rFonts w:cs="Arial"/>
                <w:sz w:val="20"/>
                <w:szCs w:val="20"/>
              </w:rPr>
              <w:t>%</w:t>
            </w:r>
          </w:p>
          <w:p w14:paraId="78085BCD" w14:textId="4B9DE65D" w:rsidR="005130F3" w:rsidRPr="002F76FE" w:rsidRDefault="005130F3" w:rsidP="002F76FE">
            <w:pPr>
              <w:spacing w:after="0"/>
              <w:rPr>
                <w:rFonts w:cs="Arial"/>
                <w:sz w:val="20"/>
                <w:szCs w:val="20"/>
              </w:rPr>
            </w:pPr>
            <w:r>
              <w:rPr>
                <w:rFonts w:cs="Arial"/>
                <w:sz w:val="20"/>
                <w:szCs w:val="20"/>
              </w:rPr>
              <w:t xml:space="preserve">PP Positive Destinations: </w:t>
            </w:r>
            <w:r w:rsidR="0036160B">
              <w:rPr>
                <w:rFonts w:cs="Arial"/>
                <w:sz w:val="20"/>
                <w:szCs w:val="20"/>
              </w:rPr>
              <w:t>100</w:t>
            </w:r>
            <w:r w:rsidR="00C05F4B" w:rsidRPr="00C05F4B">
              <w:rPr>
                <w:rFonts w:cs="Arial"/>
                <w:b/>
                <w:bCs/>
                <w:sz w:val="20"/>
                <w:szCs w:val="20"/>
              </w:rPr>
              <w:t>%</w:t>
            </w:r>
          </w:p>
          <w:p w14:paraId="2658912C" w14:textId="77777777" w:rsidR="002F76FE" w:rsidRPr="002F76FE" w:rsidRDefault="002F76FE" w:rsidP="002F76FE">
            <w:pPr>
              <w:spacing w:after="0"/>
              <w:rPr>
                <w:rFonts w:cs="Arial"/>
                <w:sz w:val="20"/>
                <w:szCs w:val="20"/>
              </w:rPr>
            </w:pPr>
          </w:p>
          <w:p w14:paraId="2EC609C5" w14:textId="15ADE6F8" w:rsidR="002F76FE" w:rsidRPr="002F76FE" w:rsidRDefault="002F76FE" w:rsidP="002F76FE">
            <w:pPr>
              <w:spacing w:after="0"/>
              <w:rPr>
                <w:rFonts w:cs="Arial"/>
                <w:b/>
                <w:bCs/>
                <w:sz w:val="20"/>
                <w:szCs w:val="20"/>
              </w:rPr>
            </w:pPr>
            <w:r w:rsidRPr="002F76FE">
              <w:rPr>
                <w:rFonts w:cs="Arial"/>
                <w:b/>
                <w:bCs/>
                <w:sz w:val="20"/>
                <w:szCs w:val="20"/>
              </w:rPr>
              <w:t>Summer 202</w:t>
            </w:r>
            <w:r w:rsidR="00E54E1C">
              <w:rPr>
                <w:rFonts w:cs="Arial"/>
                <w:b/>
                <w:bCs/>
                <w:sz w:val="20"/>
                <w:szCs w:val="20"/>
              </w:rPr>
              <w:t>2</w:t>
            </w:r>
            <w:r w:rsidRPr="002F76FE">
              <w:rPr>
                <w:rFonts w:cs="Arial"/>
                <w:b/>
                <w:bCs/>
                <w:sz w:val="20"/>
                <w:szCs w:val="20"/>
              </w:rPr>
              <w:t xml:space="preserve"> Outcomes for Year 11 pupils:</w:t>
            </w:r>
          </w:p>
          <w:p w14:paraId="7E719AA9" w14:textId="77777777" w:rsidR="002F76FE" w:rsidRPr="002F76FE" w:rsidRDefault="002F76FE" w:rsidP="002F76FE">
            <w:pPr>
              <w:spacing w:after="0"/>
              <w:rPr>
                <w:rFonts w:cs="Arial"/>
                <w:color w:val="FF0000"/>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70"/>
              <w:gridCol w:w="1370"/>
              <w:gridCol w:w="1370"/>
              <w:gridCol w:w="1370"/>
              <w:gridCol w:w="1370"/>
              <w:gridCol w:w="1371"/>
            </w:tblGrid>
            <w:tr w:rsidR="002F76FE" w:rsidRPr="002F76FE" w14:paraId="379401A3" w14:textId="77777777" w:rsidTr="00B13AB1">
              <w:tc>
                <w:tcPr>
                  <w:tcW w:w="1418" w:type="dxa"/>
                  <w:tcBorders>
                    <w:top w:val="nil"/>
                    <w:left w:val="nil"/>
                    <w:bottom w:val="nil"/>
                  </w:tcBorders>
                  <w:shd w:val="clear" w:color="auto" w:fill="auto"/>
                </w:tcPr>
                <w:p w14:paraId="67474C43" w14:textId="77777777" w:rsidR="002F76FE" w:rsidRPr="002F76FE" w:rsidRDefault="002F76FE" w:rsidP="002F76FE">
                  <w:pPr>
                    <w:spacing w:after="0"/>
                    <w:jc w:val="center"/>
                    <w:rPr>
                      <w:rFonts w:cs="Arial"/>
                      <w:sz w:val="20"/>
                      <w:szCs w:val="20"/>
                    </w:rPr>
                  </w:pPr>
                </w:p>
              </w:tc>
              <w:tc>
                <w:tcPr>
                  <w:tcW w:w="4110" w:type="dxa"/>
                  <w:gridSpan w:val="3"/>
                  <w:shd w:val="clear" w:color="auto" w:fill="9CC2E5"/>
                </w:tcPr>
                <w:p w14:paraId="3545A4BF" w14:textId="77777777" w:rsidR="002F76FE" w:rsidRPr="002F76FE" w:rsidRDefault="002F76FE" w:rsidP="002F76FE">
                  <w:pPr>
                    <w:spacing w:after="0"/>
                    <w:jc w:val="center"/>
                    <w:rPr>
                      <w:rFonts w:cs="Arial"/>
                      <w:sz w:val="20"/>
                      <w:szCs w:val="20"/>
                    </w:rPr>
                  </w:pPr>
                  <w:r w:rsidRPr="002F76FE">
                    <w:rPr>
                      <w:rFonts w:cs="Arial"/>
                      <w:sz w:val="20"/>
                      <w:szCs w:val="20"/>
                    </w:rPr>
                    <w:t>Exceeding Expected Progress</w:t>
                  </w:r>
                </w:p>
              </w:tc>
              <w:tc>
                <w:tcPr>
                  <w:tcW w:w="4111" w:type="dxa"/>
                  <w:gridSpan w:val="3"/>
                  <w:shd w:val="clear" w:color="auto" w:fill="A8D08D"/>
                </w:tcPr>
                <w:p w14:paraId="4BCDF745" w14:textId="77777777" w:rsidR="002F76FE" w:rsidRPr="002F76FE" w:rsidRDefault="002F76FE" w:rsidP="002F76FE">
                  <w:pPr>
                    <w:spacing w:after="0"/>
                    <w:jc w:val="center"/>
                    <w:rPr>
                      <w:rFonts w:cs="Arial"/>
                      <w:sz w:val="20"/>
                      <w:szCs w:val="20"/>
                    </w:rPr>
                  </w:pPr>
                  <w:r w:rsidRPr="002F76FE">
                    <w:rPr>
                      <w:rFonts w:cs="Arial"/>
                      <w:sz w:val="20"/>
                      <w:szCs w:val="20"/>
                    </w:rPr>
                    <w:t>Making Expected Progress</w:t>
                  </w:r>
                </w:p>
              </w:tc>
            </w:tr>
            <w:tr w:rsidR="002F76FE" w:rsidRPr="002F76FE" w14:paraId="660232B3" w14:textId="77777777" w:rsidTr="00B13AB1">
              <w:tc>
                <w:tcPr>
                  <w:tcW w:w="1418" w:type="dxa"/>
                  <w:tcBorders>
                    <w:top w:val="nil"/>
                    <w:left w:val="nil"/>
                  </w:tcBorders>
                  <w:shd w:val="clear" w:color="auto" w:fill="auto"/>
                </w:tcPr>
                <w:p w14:paraId="440F8F73" w14:textId="77777777" w:rsidR="002F76FE" w:rsidRPr="002F76FE" w:rsidRDefault="002F76FE" w:rsidP="002F76FE">
                  <w:pPr>
                    <w:spacing w:after="0"/>
                    <w:jc w:val="center"/>
                    <w:rPr>
                      <w:rFonts w:cs="Arial"/>
                      <w:sz w:val="20"/>
                      <w:szCs w:val="20"/>
                    </w:rPr>
                  </w:pPr>
                </w:p>
              </w:tc>
              <w:tc>
                <w:tcPr>
                  <w:tcW w:w="1370" w:type="dxa"/>
                  <w:shd w:val="clear" w:color="auto" w:fill="9CC2E5"/>
                  <w:vAlign w:val="center"/>
                </w:tcPr>
                <w:p w14:paraId="23FF0253" w14:textId="77777777" w:rsidR="002F76FE" w:rsidRPr="002F76FE" w:rsidRDefault="002F76FE" w:rsidP="002F76FE">
                  <w:pPr>
                    <w:spacing w:after="0"/>
                    <w:jc w:val="center"/>
                    <w:rPr>
                      <w:rFonts w:cs="Arial"/>
                      <w:sz w:val="20"/>
                      <w:szCs w:val="20"/>
                    </w:rPr>
                  </w:pPr>
                  <w:r w:rsidRPr="002F76FE">
                    <w:rPr>
                      <w:rFonts w:cs="Arial"/>
                      <w:sz w:val="20"/>
                      <w:szCs w:val="20"/>
                    </w:rPr>
                    <w:t>ALL</w:t>
                  </w:r>
                </w:p>
              </w:tc>
              <w:tc>
                <w:tcPr>
                  <w:tcW w:w="1370" w:type="dxa"/>
                  <w:shd w:val="clear" w:color="auto" w:fill="9CC2E5"/>
                  <w:vAlign w:val="center"/>
                </w:tcPr>
                <w:p w14:paraId="0908F1F0" w14:textId="77777777" w:rsidR="002F76FE" w:rsidRPr="002F76FE" w:rsidRDefault="002F76FE" w:rsidP="002F76FE">
                  <w:pPr>
                    <w:spacing w:after="0"/>
                    <w:jc w:val="center"/>
                    <w:rPr>
                      <w:rFonts w:cs="Arial"/>
                      <w:sz w:val="20"/>
                      <w:szCs w:val="20"/>
                    </w:rPr>
                  </w:pPr>
                  <w:r w:rsidRPr="002F76FE">
                    <w:rPr>
                      <w:rFonts w:cs="Arial"/>
                      <w:sz w:val="20"/>
                      <w:szCs w:val="20"/>
                    </w:rPr>
                    <w:t>PP</w:t>
                  </w:r>
                </w:p>
              </w:tc>
              <w:tc>
                <w:tcPr>
                  <w:tcW w:w="1370" w:type="dxa"/>
                  <w:shd w:val="clear" w:color="auto" w:fill="9CC2E5"/>
                  <w:vAlign w:val="center"/>
                </w:tcPr>
                <w:p w14:paraId="3736381D" w14:textId="77777777" w:rsidR="002F76FE" w:rsidRPr="002F76FE" w:rsidRDefault="002F76FE" w:rsidP="002F76FE">
                  <w:pPr>
                    <w:spacing w:after="0"/>
                    <w:jc w:val="center"/>
                    <w:rPr>
                      <w:rFonts w:cs="Arial"/>
                      <w:sz w:val="20"/>
                      <w:szCs w:val="20"/>
                    </w:rPr>
                  </w:pPr>
                  <w:r w:rsidRPr="002F76FE">
                    <w:rPr>
                      <w:rFonts w:cs="Arial"/>
                      <w:sz w:val="20"/>
                      <w:szCs w:val="20"/>
                    </w:rPr>
                    <w:t>Gap</w:t>
                  </w:r>
                </w:p>
              </w:tc>
              <w:tc>
                <w:tcPr>
                  <w:tcW w:w="1370" w:type="dxa"/>
                  <w:shd w:val="clear" w:color="auto" w:fill="A8D08D"/>
                  <w:vAlign w:val="center"/>
                </w:tcPr>
                <w:p w14:paraId="361385A8" w14:textId="77777777" w:rsidR="002F76FE" w:rsidRPr="002F76FE" w:rsidRDefault="002F76FE" w:rsidP="002F76FE">
                  <w:pPr>
                    <w:spacing w:after="0"/>
                    <w:jc w:val="center"/>
                    <w:rPr>
                      <w:rFonts w:cs="Arial"/>
                      <w:sz w:val="20"/>
                      <w:szCs w:val="20"/>
                    </w:rPr>
                  </w:pPr>
                  <w:r w:rsidRPr="002F76FE">
                    <w:rPr>
                      <w:rFonts w:cs="Arial"/>
                      <w:sz w:val="20"/>
                      <w:szCs w:val="20"/>
                    </w:rPr>
                    <w:t>ALL</w:t>
                  </w:r>
                </w:p>
              </w:tc>
              <w:tc>
                <w:tcPr>
                  <w:tcW w:w="1370" w:type="dxa"/>
                  <w:shd w:val="clear" w:color="auto" w:fill="A8D08D"/>
                  <w:vAlign w:val="center"/>
                </w:tcPr>
                <w:p w14:paraId="25FB3EB2" w14:textId="77777777" w:rsidR="002F76FE" w:rsidRPr="002F76FE" w:rsidRDefault="002F76FE" w:rsidP="002F76FE">
                  <w:pPr>
                    <w:spacing w:after="0"/>
                    <w:jc w:val="center"/>
                    <w:rPr>
                      <w:rFonts w:cs="Arial"/>
                      <w:sz w:val="20"/>
                      <w:szCs w:val="20"/>
                    </w:rPr>
                  </w:pPr>
                  <w:r w:rsidRPr="002F76FE">
                    <w:rPr>
                      <w:rFonts w:cs="Arial"/>
                      <w:sz w:val="20"/>
                      <w:szCs w:val="20"/>
                    </w:rPr>
                    <w:t>PP</w:t>
                  </w:r>
                </w:p>
              </w:tc>
              <w:tc>
                <w:tcPr>
                  <w:tcW w:w="1371" w:type="dxa"/>
                  <w:shd w:val="clear" w:color="auto" w:fill="A8D08D"/>
                  <w:vAlign w:val="center"/>
                </w:tcPr>
                <w:p w14:paraId="32A10323" w14:textId="77777777" w:rsidR="002F76FE" w:rsidRPr="002F76FE" w:rsidRDefault="002F76FE" w:rsidP="002F76FE">
                  <w:pPr>
                    <w:spacing w:after="0"/>
                    <w:jc w:val="center"/>
                    <w:rPr>
                      <w:rFonts w:cs="Arial"/>
                      <w:sz w:val="20"/>
                      <w:szCs w:val="20"/>
                    </w:rPr>
                  </w:pPr>
                  <w:r w:rsidRPr="002F76FE">
                    <w:rPr>
                      <w:rFonts w:cs="Arial"/>
                      <w:sz w:val="20"/>
                      <w:szCs w:val="20"/>
                    </w:rPr>
                    <w:t>Gap</w:t>
                  </w:r>
                </w:p>
              </w:tc>
            </w:tr>
            <w:tr w:rsidR="002F76FE" w:rsidRPr="002F76FE" w14:paraId="3D8BCCF7" w14:textId="77777777" w:rsidTr="00B13AB1">
              <w:tc>
                <w:tcPr>
                  <w:tcW w:w="1418" w:type="dxa"/>
                  <w:shd w:val="clear" w:color="auto" w:fill="auto"/>
                  <w:vAlign w:val="center"/>
                </w:tcPr>
                <w:p w14:paraId="7D5FE6D3" w14:textId="77777777" w:rsidR="002F76FE" w:rsidRPr="002F76FE" w:rsidRDefault="002F76FE" w:rsidP="002F76FE">
                  <w:pPr>
                    <w:spacing w:after="0"/>
                    <w:rPr>
                      <w:rFonts w:cs="Arial"/>
                      <w:sz w:val="20"/>
                      <w:szCs w:val="20"/>
                    </w:rPr>
                  </w:pPr>
                </w:p>
                <w:p w14:paraId="632718C6" w14:textId="77777777" w:rsidR="002F76FE" w:rsidRPr="002F76FE" w:rsidRDefault="002F76FE" w:rsidP="002F76FE">
                  <w:pPr>
                    <w:spacing w:after="0"/>
                    <w:rPr>
                      <w:rFonts w:cs="Arial"/>
                      <w:sz w:val="20"/>
                      <w:szCs w:val="20"/>
                    </w:rPr>
                  </w:pPr>
                  <w:r w:rsidRPr="002F76FE">
                    <w:rPr>
                      <w:rFonts w:cs="Arial"/>
                      <w:sz w:val="20"/>
                      <w:szCs w:val="20"/>
                    </w:rPr>
                    <w:t>English</w:t>
                  </w:r>
                </w:p>
                <w:p w14:paraId="6DEE41F6" w14:textId="77777777" w:rsidR="002F76FE" w:rsidRPr="002F76FE" w:rsidRDefault="002F76FE" w:rsidP="002F76FE">
                  <w:pPr>
                    <w:spacing w:after="0"/>
                    <w:rPr>
                      <w:rFonts w:cs="Arial"/>
                      <w:sz w:val="20"/>
                      <w:szCs w:val="20"/>
                    </w:rPr>
                  </w:pPr>
                </w:p>
              </w:tc>
              <w:tc>
                <w:tcPr>
                  <w:tcW w:w="1370" w:type="dxa"/>
                  <w:shd w:val="clear" w:color="auto" w:fill="9CC2E5"/>
                  <w:vAlign w:val="center"/>
                </w:tcPr>
                <w:p w14:paraId="686578FE" w14:textId="79332FE0" w:rsidR="002F76FE" w:rsidRPr="002F76FE" w:rsidRDefault="00C05CBA" w:rsidP="002F76FE">
                  <w:pPr>
                    <w:spacing w:after="0"/>
                    <w:jc w:val="center"/>
                    <w:rPr>
                      <w:rFonts w:cs="Arial"/>
                      <w:sz w:val="20"/>
                      <w:szCs w:val="20"/>
                    </w:rPr>
                  </w:pPr>
                  <w:r>
                    <w:rPr>
                      <w:rFonts w:cs="Arial"/>
                      <w:sz w:val="20"/>
                      <w:szCs w:val="20"/>
                    </w:rPr>
                    <w:t>37</w:t>
                  </w:r>
                  <w:r w:rsidR="002F76FE" w:rsidRPr="002F76FE">
                    <w:rPr>
                      <w:rFonts w:cs="Arial"/>
                      <w:sz w:val="20"/>
                      <w:szCs w:val="20"/>
                    </w:rPr>
                    <w:t>%</w:t>
                  </w:r>
                </w:p>
              </w:tc>
              <w:tc>
                <w:tcPr>
                  <w:tcW w:w="1370" w:type="dxa"/>
                  <w:shd w:val="clear" w:color="auto" w:fill="9CC2E5"/>
                  <w:vAlign w:val="center"/>
                </w:tcPr>
                <w:p w14:paraId="17DFA794" w14:textId="05E2F7D7" w:rsidR="002F76FE" w:rsidRPr="002F76FE" w:rsidRDefault="00C05CBA" w:rsidP="002F76FE">
                  <w:pPr>
                    <w:spacing w:after="0"/>
                    <w:jc w:val="center"/>
                    <w:rPr>
                      <w:rFonts w:cs="Arial"/>
                      <w:sz w:val="20"/>
                      <w:szCs w:val="20"/>
                    </w:rPr>
                  </w:pPr>
                  <w:r>
                    <w:rPr>
                      <w:rFonts w:cs="Arial"/>
                      <w:sz w:val="20"/>
                      <w:szCs w:val="20"/>
                    </w:rPr>
                    <w:t>18</w:t>
                  </w:r>
                  <w:r w:rsidR="002F76FE" w:rsidRPr="002F76FE">
                    <w:rPr>
                      <w:rFonts w:cs="Arial"/>
                      <w:sz w:val="20"/>
                      <w:szCs w:val="20"/>
                    </w:rPr>
                    <w:t>%</w:t>
                  </w:r>
                </w:p>
              </w:tc>
              <w:tc>
                <w:tcPr>
                  <w:tcW w:w="1370" w:type="dxa"/>
                  <w:shd w:val="clear" w:color="auto" w:fill="9CC2E5"/>
                  <w:vAlign w:val="center"/>
                </w:tcPr>
                <w:p w14:paraId="7A2CA38A" w14:textId="2F3E4738" w:rsidR="002F76FE" w:rsidRPr="002F76FE" w:rsidRDefault="002F76FE" w:rsidP="002F76FE">
                  <w:pPr>
                    <w:spacing w:after="0"/>
                    <w:jc w:val="center"/>
                    <w:rPr>
                      <w:rFonts w:cs="Arial"/>
                      <w:sz w:val="20"/>
                      <w:szCs w:val="20"/>
                    </w:rPr>
                  </w:pPr>
                  <w:r w:rsidRPr="002F76FE">
                    <w:rPr>
                      <w:rFonts w:cs="Arial"/>
                      <w:sz w:val="20"/>
                      <w:szCs w:val="20"/>
                    </w:rPr>
                    <w:t>-1</w:t>
                  </w:r>
                  <w:r w:rsidR="00C7368D">
                    <w:rPr>
                      <w:rFonts w:cs="Arial"/>
                      <w:sz w:val="20"/>
                      <w:szCs w:val="20"/>
                    </w:rPr>
                    <w:t>9</w:t>
                  </w:r>
                  <w:r w:rsidRPr="002F76FE">
                    <w:rPr>
                      <w:rFonts w:cs="Arial"/>
                      <w:sz w:val="20"/>
                      <w:szCs w:val="20"/>
                    </w:rPr>
                    <w:t>%</w:t>
                  </w:r>
                </w:p>
              </w:tc>
              <w:tc>
                <w:tcPr>
                  <w:tcW w:w="1370" w:type="dxa"/>
                  <w:shd w:val="clear" w:color="auto" w:fill="A8D08D"/>
                  <w:vAlign w:val="center"/>
                </w:tcPr>
                <w:p w14:paraId="1D8AEFFA" w14:textId="2DA47332" w:rsidR="002F76FE" w:rsidRPr="002F76FE" w:rsidRDefault="002F76FE" w:rsidP="002F76FE">
                  <w:pPr>
                    <w:spacing w:after="0"/>
                    <w:jc w:val="center"/>
                    <w:rPr>
                      <w:rFonts w:cs="Arial"/>
                      <w:sz w:val="20"/>
                      <w:szCs w:val="20"/>
                    </w:rPr>
                  </w:pPr>
                  <w:r w:rsidRPr="002F76FE">
                    <w:rPr>
                      <w:rFonts w:cs="Arial"/>
                      <w:sz w:val="20"/>
                      <w:szCs w:val="20"/>
                    </w:rPr>
                    <w:t>8</w:t>
                  </w:r>
                  <w:r w:rsidR="00D50E3E">
                    <w:rPr>
                      <w:rFonts w:cs="Arial"/>
                      <w:sz w:val="20"/>
                      <w:szCs w:val="20"/>
                    </w:rPr>
                    <w:t>5</w:t>
                  </w:r>
                  <w:r w:rsidRPr="002F76FE">
                    <w:rPr>
                      <w:rFonts w:cs="Arial"/>
                      <w:sz w:val="20"/>
                      <w:szCs w:val="20"/>
                    </w:rPr>
                    <w:t>%</w:t>
                  </w:r>
                </w:p>
              </w:tc>
              <w:tc>
                <w:tcPr>
                  <w:tcW w:w="1370" w:type="dxa"/>
                  <w:shd w:val="clear" w:color="auto" w:fill="A8D08D"/>
                  <w:vAlign w:val="center"/>
                </w:tcPr>
                <w:p w14:paraId="7625139F" w14:textId="2C6CA6FB" w:rsidR="002F76FE" w:rsidRPr="002F76FE" w:rsidRDefault="00D50E3E" w:rsidP="002F76FE">
                  <w:pPr>
                    <w:spacing w:after="0"/>
                    <w:jc w:val="center"/>
                    <w:rPr>
                      <w:rFonts w:cs="Arial"/>
                      <w:sz w:val="20"/>
                      <w:szCs w:val="20"/>
                    </w:rPr>
                  </w:pPr>
                  <w:r>
                    <w:rPr>
                      <w:rFonts w:cs="Arial"/>
                      <w:sz w:val="20"/>
                      <w:szCs w:val="20"/>
                    </w:rPr>
                    <w:t>73</w:t>
                  </w:r>
                  <w:r w:rsidR="002F76FE" w:rsidRPr="002F76FE">
                    <w:rPr>
                      <w:rFonts w:cs="Arial"/>
                      <w:sz w:val="20"/>
                      <w:szCs w:val="20"/>
                    </w:rPr>
                    <w:t>%</w:t>
                  </w:r>
                </w:p>
              </w:tc>
              <w:tc>
                <w:tcPr>
                  <w:tcW w:w="1371" w:type="dxa"/>
                  <w:shd w:val="clear" w:color="auto" w:fill="A8D08D"/>
                  <w:vAlign w:val="center"/>
                </w:tcPr>
                <w:p w14:paraId="076EB7BF" w14:textId="41EEF52B" w:rsidR="002F76FE" w:rsidRPr="002F76FE" w:rsidRDefault="002F76FE" w:rsidP="002F76FE">
                  <w:pPr>
                    <w:spacing w:after="0"/>
                    <w:jc w:val="center"/>
                    <w:rPr>
                      <w:rFonts w:cs="Arial"/>
                      <w:sz w:val="20"/>
                      <w:szCs w:val="20"/>
                    </w:rPr>
                  </w:pPr>
                  <w:r w:rsidRPr="002F76FE">
                    <w:rPr>
                      <w:rFonts w:cs="Arial"/>
                      <w:sz w:val="20"/>
                      <w:szCs w:val="20"/>
                    </w:rPr>
                    <w:t>-</w:t>
                  </w:r>
                  <w:r w:rsidR="00D50E3E">
                    <w:rPr>
                      <w:rFonts w:cs="Arial"/>
                      <w:sz w:val="20"/>
                      <w:szCs w:val="20"/>
                    </w:rPr>
                    <w:t>12</w:t>
                  </w:r>
                  <w:r w:rsidRPr="002F76FE">
                    <w:rPr>
                      <w:rFonts w:cs="Arial"/>
                      <w:sz w:val="20"/>
                      <w:szCs w:val="20"/>
                    </w:rPr>
                    <w:t>%</w:t>
                  </w:r>
                </w:p>
              </w:tc>
            </w:tr>
            <w:tr w:rsidR="002F76FE" w:rsidRPr="002F76FE" w14:paraId="2F335569" w14:textId="77777777" w:rsidTr="00B13AB1">
              <w:tc>
                <w:tcPr>
                  <w:tcW w:w="1418" w:type="dxa"/>
                  <w:shd w:val="clear" w:color="auto" w:fill="auto"/>
                  <w:vAlign w:val="center"/>
                </w:tcPr>
                <w:p w14:paraId="3742EA82" w14:textId="77777777" w:rsidR="002F76FE" w:rsidRPr="002F76FE" w:rsidRDefault="002F76FE" w:rsidP="002F76FE">
                  <w:pPr>
                    <w:spacing w:after="0"/>
                    <w:rPr>
                      <w:rFonts w:cs="Arial"/>
                      <w:sz w:val="20"/>
                      <w:szCs w:val="20"/>
                    </w:rPr>
                  </w:pPr>
                </w:p>
                <w:p w14:paraId="1D2B61B5" w14:textId="77777777" w:rsidR="002F76FE" w:rsidRPr="002F76FE" w:rsidRDefault="002F76FE" w:rsidP="002F76FE">
                  <w:pPr>
                    <w:spacing w:after="0"/>
                    <w:rPr>
                      <w:rFonts w:cs="Arial"/>
                      <w:sz w:val="20"/>
                      <w:szCs w:val="20"/>
                    </w:rPr>
                  </w:pPr>
                  <w:r w:rsidRPr="002F76FE">
                    <w:rPr>
                      <w:rFonts w:cs="Arial"/>
                      <w:sz w:val="20"/>
                      <w:szCs w:val="20"/>
                    </w:rPr>
                    <w:t>Maths</w:t>
                  </w:r>
                </w:p>
                <w:p w14:paraId="2450267C" w14:textId="77777777" w:rsidR="002F76FE" w:rsidRPr="002F76FE" w:rsidRDefault="002F76FE" w:rsidP="002F76FE">
                  <w:pPr>
                    <w:spacing w:after="0"/>
                    <w:rPr>
                      <w:rFonts w:cs="Arial"/>
                      <w:sz w:val="20"/>
                      <w:szCs w:val="20"/>
                    </w:rPr>
                  </w:pPr>
                </w:p>
              </w:tc>
              <w:tc>
                <w:tcPr>
                  <w:tcW w:w="1370" w:type="dxa"/>
                  <w:shd w:val="clear" w:color="auto" w:fill="9CC2E5"/>
                  <w:vAlign w:val="center"/>
                </w:tcPr>
                <w:p w14:paraId="31E132B2" w14:textId="56A4ED16" w:rsidR="002F76FE" w:rsidRPr="002F76FE" w:rsidRDefault="00E678AA" w:rsidP="002F76FE">
                  <w:pPr>
                    <w:spacing w:after="0"/>
                    <w:jc w:val="center"/>
                    <w:rPr>
                      <w:rFonts w:cs="Arial"/>
                      <w:sz w:val="20"/>
                      <w:szCs w:val="20"/>
                    </w:rPr>
                  </w:pPr>
                  <w:r>
                    <w:rPr>
                      <w:rFonts w:cs="Arial"/>
                      <w:sz w:val="20"/>
                      <w:szCs w:val="20"/>
                    </w:rPr>
                    <w:t>43</w:t>
                  </w:r>
                  <w:r w:rsidR="002F76FE" w:rsidRPr="002F76FE">
                    <w:rPr>
                      <w:rFonts w:cs="Arial"/>
                      <w:sz w:val="20"/>
                      <w:szCs w:val="20"/>
                    </w:rPr>
                    <w:t>%</w:t>
                  </w:r>
                </w:p>
              </w:tc>
              <w:tc>
                <w:tcPr>
                  <w:tcW w:w="1370" w:type="dxa"/>
                  <w:shd w:val="clear" w:color="auto" w:fill="9CC2E5"/>
                  <w:vAlign w:val="center"/>
                </w:tcPr>
                <w:p w14:paraId="2762B3BA" w14:textId="47305EB8" w:rsidR="002F76FE" w:rsidRPr="002F76FE" w:rsidRDefault="00E678AA" w:rsidP="002F76FE">
                  <w:pPr>
                    <w:spacing w:after="0"/>
                    <w:jc w:val="center"/>
                    <w:rPr>
                      <w:rFonts w:cs="Arial"/>
                      <w:sz w:val="20"/>
                      <w:szCs w:val="20"/>
                    </w:rPr>
                  </w:pPr>
                  <w:r>
                    <w:rPr>
                      <w:rFonts w:cs="Arial"/>
                      <w:sz w:val="20"/>
                      <w:szCs w:val="20"/>
                    </w:rPr>
                    <w:t>17</w:t>
                  </w:r>
                  <w:r w:rsidR="002F76FE" w:rsidRPr="002F76FE">
                    <w:rPr>
                      <w:rFonts w:cs="Arial"/>
                      <w:sz w:val="20"/>
                      <w:szCs w:val="20"/>
                    </w:rPr>
                    <w:t>%</w:t>
                  </w:r>
                </w:p>
              </w:tc>
              <w:tc>
                <w:tcPr>
                  <w:tcW w:w="1370" w:type="dxa"/>
                  <w:shd w:val="clear" w:color="auto" w:fill="9CC2E5"/>
                  <w:vAlign w:val="center"/>
                </w:tcPr>
                <w:p w14:paraId="1095B0FA" w14:textId="2F7E84CB" w:rsidR="002F76FE" w:rsidRPr="002F76FE" w:rsidRDefault="00E765B1" w:rsidP="002F76FE">
                  <w:pPr>
                    <w:spacing w:after="0"/>
                    <w:jc w:val="center"/>
                    <w:rPr>
                      <w:rFonts w:cs="Arial"/>
                      <w:sz w:val="20"/>
                      <w:szCs w:val="20"/>
                    </w:rPr>
                  </w:pPr>
                  <w:r>
                    <w:rPr>
                      <w:rFonts w:cs="Arial"/>
                      <w:sz w:val="20"/>
                      <w:szCs w:val="20"/>
                    </w:rPr>
                    <w:t>-26</w:t>
                  </w:r>
                  <w:r w:rsidR="002F76FE" w:rsidRPr="002F76FE">
                    <w:rPr>
                      <w:rFonts w:cs="Arial"/>
                      <w:sz w:val="20"/>
                      <w:szCs w:val="20"/>
                    </w:rPr>
                    <w:t>%</w:t>
                  </w:r>
                </w:p>
              </w:tc>
              <w:tc>
                <w:tcPr>
                  <w:tcW w:w="1370" w:type="dxa"/>
                  <w:shd w:val="clear" w:color="auto" w:fill="A8D08D"/>
                  <w:vAlign w:val="center"/>
                </w:tcPr>
                <w:p w14:paraId="59B32875" w14:textId="5C525F1D" w:rsidR="002F76FE" w:rsidRPr="002F76FE" w:rsidRDefault="002F76FE" w:rsidP="002F76FE">
                  <w:pPr>
                    <w:spacing w:after="0"/>
                    <w:jc w:val="center"/>
                    <w:rPr>
                      <w:rFonts w:cs="Arial"/>
                      <w:sz w:val="20"/>
                      <w:szCs w:val="20"/>
                    </w:rPr>
                  </w:pPr>
                  <w:r w:rsidRPr="002F76FE">
                    <w:rPr>
                      <w:rFonts w:cs="Arial"/>
                      <w:sz w:val="20"/>
                      <w:szCs w:val="20"/>
                    </w:rPr>
                    <w:t>7</w:t>
                  </w:r>
                  <w:r w:rsidR="001A1E7E">
                    <w:rPr>
                      <w:rFonts w:cs="Arial"/>
                      <w:sz w:val="20"/>
                      <w:szCs w:val="20"/>
                    </w:rPr>
                    <w:t>9</w:t>
                  </w:r>
                  <w:r w:rsidRPr="002F76FE">
                    <w:rPr>
                      <w:rFonts w:cs="Arial"/>
                      <w:sz w:val="20"/>
                      <w:szCs w:val="20"/>
                    </w:rPr>
                    <w:t>%</w:t>
                  </w:r>
                </w:p>
              </w:tc>
              <w:tc>
                <w:tcPr>
                  <w:tcW w:w="1370" w:type="dxa"/>
                  <w:shd w:val="clear" w:color="auto" w:fill="A8D08D"/>
                  <w:vAlign w:val="center"/>
                </w:tcPr>
                <w:p w14:paraId="4923EED7" w14:textId="2D2B1920" w:rsidR="002F76FE" w:rsidRPr="002F76FE" w:rsidRDefault="001A1E7E" w:rsidP="002F76FE">
                  <w:pPr>
                    <w:spacing w:after="0"/>
                    <w:jc w:val="center"/>
                    <w:rPr>
                      <w:rFonts w:cs="Arial"/>
                      <w:sz w:val="20"/>
                      <w:szCs w:val="20"/>
                    </w:rPr>
                  </w:pPr>
                  <w:r>
                    <w:rPr>
                      <w:rFonts w:cs="Arial"/>
                      <w:sz w:val="20"/>
                      <w:szCs w:val="20"/>
                    </w:rPr>
                    <w:t>50</w:t>
                  </w:r>
                  <w:r w:rsidR="002F76FE" w:rsidRPr="002F76FE">
                    <w:rPr>
                      <w:rFonts w:cs="Arial"/>
                      <w:sz w:val="20"/>
                      <w:szCs w:val="20"/>
                    </w:rPr>
                    <w:t>%</w:t>
                  </w:r>
                </w:p>
              </w:tc>
              <w:tc>
                <w:tcPr>
                  <w:tcW w:w="1371" w:type="dxa"/>
                  <w:shd w:val="clear" w:color="auto" w:fill="A8D08D"/>
                  <w:vAlign w:val="center"/>
                </w:tcPr>
                <w:p w14:paraId="028E7BE3" w14:textId="150514AA" w:rsidR="002F76FE" w:rsidRPr="002F76FE" w:rsidRDefault="001A1E7E" w:rsidP="002F76FE">
                  <w:pPr>
                    <w:spacing w:after="0"/>
                    <w:jc w:val="center"/>
                    <w:rPr>
                      <w:rFonts w:cs="Arial"/>
                      <w:sz w:val="20"/>
                      <w:szCs w:val="20"/>
                    </w:rPr>
                  </w:pPr>
                  <w:r>
                    <w:rPr>
                      <w:rFonts w:cs="Arial"/>
                      <w:sz w:val="20"/>
                      <w:szCs w:val="20"/>
                    </w:rPr>
                    <w:t>-</w:t>
                  </w:r>
                  <w:r w:rsidR="00D56294">
                    <w:rPr>
                      <w:rFonts w:cs="Arial"/>
                      <w:sz w:val="20"/>
                      <w:szCs w:val="20"/>
                    </w:rPr>
                    <w:t>29</w:t>
                  </w:r>
                  <w:r w:rsidR="002F76FE" w:rsidRPr="002F76FE">
                    <w:rPr>
                      <w:rFonts w:cs="Arial"/>
                      <w:sz w:val="20"/>
                      <w:szCs w:val="20"/>
                    </w:rPr>
                    <w:t>%</w:t>
                  </w:r>
                </w:p>
              </w:tc>
            </w:tr>
          </w:tbl>
          <w:p w14:paraId="5F605B7C" w14:textId="77777777" w:rsidR="002F76FE" w:rsidRPr="002F76FE" w:rsidRDefault="002F76FE" w:rsidP="002F76FE">
            <w:pPr>
              <w:spacing w:after="0"/>
              <w:rPr>
                <w:rFonts w:cs="Arial"/>
                <w:b/>
                <w:color w:val="FF0000"/>
                <w:sz w:val="20"/>
                <w:szCs w:val="20"/>
              </w:rPr>
            </w:pPr>
          </w:p>
          <w:p w14:paraId="0EA299B0" w14:textId="18AB5AAD" w:rsidR="002F76FE" w:rsidRDefault="002F76FE" w:rsidP="002F76FE">
            <w:pPr>
              <w:spacing w:after="0"/>
              <w:jc w:val="both"/>
              <w:rPr>
                <w:rFonts w:cs="Arial"/>
                <w:sz w:val="20"/>
                <w:szCs w:val="20"/>
              </w:rPr>
            </w:pPr>
            <w:r w:rsidRPr="002F76FE">
              <w:rPr>
                <w:rFonts w:cs="Arial"/>
                <w:sz w:val="20"/>
                <w:szCs w:val="20"/>
              </w:rPr>
              <w:t xml:space="preserve"> </w:t>
            </w:r>
            <w:r w:rsidR="004B5A66">
              <w:rPr>
                <w:rFonts w:cs="Arial"/>
                <w:sz w:val="20"/>
                <w:szCs w:val="20"/>
              </w:rPr>
              <w:t>47%</w:t>
            </w:r>
            <w:r w:rsidRPr="002F76FE">
              <w:rPr>
                <w:rFonts w:cs="Arial"/>
                <w:sz w:val="20"/>
                <w:szCs w:val="20"/>
              </w:rPr>
              <w:t xml:space="preserve"> the 202</w:t>
            </w:r>
            <w:r w:rsidR="00E54E1C">
              <w:rPr>
                <w:rFonts w:cs="Arial"/>
                <w:sz w:val="20"/>
                <w:szCs w:val="20"/>
              </w:rPr>
              <w:t>1</w:t>
            </w:r>
            <w:r w:rsidRPr="002F76FE">
              <w:rPr>
                <w:rFonts w:cs="Arial"/>
                <w:sz w:val="20"/>
                <w:szCs w:val="20"/>
              </w:rPr>
              <w:t>-2</w:t>
            </w:r>
            <w:r w:rsidR="00E54E1C">
              <w:rPr>
                <w:rFonts w:cs="Arial"/>
                <w:sz w:val="20"/>
                <w:szCs w:val="20"/>
              </w:rPr>
              <w:t>2</w:t>
            </w:r>
            <w:r w:rsidRPr="002F76FE">
              <w:rPr>
                <w:rFonts w:cs="Arial"/>
                <w:sz w:val="20"/>
                <w:szCs w:val="20"/>
              </w:rPr>
              <w:t xml:space="preserve"> Year 11 cohort were pupil premium </w:t>
            </w:r>
            <w:r w:rsidR="00E54E1C">
              <w:rPr>
                <w:rFonts w:cs="Arial"/>
                <w:sz w:val="20"/>
                <w:szCs w:val="20"/>
              </w:rPr>
              <w:t>pupils</w:t>
            </w:r>
            <w:r w:rsidR="004B5A66">
              <w:rPr>
                <w:rFonts w:cs="Arial"/>
                <w:sz w:val="20"/>
                <w:szCs w:val="20"/>
              </w:rPr>
              <w:t>.</w:t>
            </w:r>
          </w:p>
          <w:p w14:paraId="00C24BA9" w14:textId="38DD3756" w:rsidR="000A05A9" w:rsidRDefault="000A05A9" w:rsidP="002F76FE">
            <w:pPr>
              <w:spacing w:after="0"/>
              <w:jc w:val="both"/>
              <w:rPr>
                <w:rFonts w:cs="Arial"/>
                <w:sz w:val="20"/>
                <w:szCs w:val="20"/>
              </w:rPr>
            </w:pPr>
          </w:p>
          <w:tbl>
            <w:tblPr>
              <w:tblStyle w:val="TableGrid"/>
              <w:tblW w:w="10060" w:type="dxa"/>
              <w:jc w:val="center"/>
              <w:tblLook w:val="04A0" w:firstRow="1" w:lastRow="0" w:firstColumn="1" w:lastColumn="0" w:noHBand="0" w:noVBand="1"/>
            </w:tblPr>
            <w:tblGrid>
              <w:gridCol w:w="1882"/>
              <w:gridCol w:w="1248"/>
              <w:gridCol w:w="1636"/>
              <w:gridCol w:w="1234"/>
              <w:gridCol w:w="1227"/>
              <w:gridCol w:w="1166"/>
              <w:gridCol w:w="1667"/>
            </w:tblGrid>
            <w:tr w:rsidR="000A05A9" w:rsidRPr="004165A4" w14:paraId="78BB842D" w14:textId="77777777" w:rsidTr="006D1237">
              <w:trPr>
                <w:trHeight w:val="146"/>
                <w:jc w:val="center"/>
              </w:trPr>
              <w:tc>
                <w:tcPr>
                  <w:tcW w:w="1882" w:type="dxa"/>
                </w:tcPr>
                <w:p w14:paraId="432AD8A4" w14:textId="77777777" w:rsidR="000A05A9" w:rsidRPr="000A05A9" w:rsidRDefault="000A05A9" w:rsidP="000A05A9">
                  <w:pPr>
                    <w:rPr>
                      <w:rFonts w:asciiTheme="minorHAnsi" w:hAnsiTheme="minorHAnsi" w:cstheme="minorHAnsi"/>
                      <w:b/>
                      <w:sz w:val="22"/>
                      <w:szCs w:val="22"/>
                    </w:rPr>
                  </w:pPr>
                </w:p>
              </w:tc>
              <w:tc>
                <w:tcPr>
                  <w:tcW w:w="1248" w:type="dxa"/>
                </w:tcPr>
                <w:p w14:paraId="5DC5D5D5" w14:textId="77777777" w:rsidR="000A05A9" w:rsidRPr="000A05A9" w:rsidRDefault="000A05A9" w:rsidP="000A05A9">
                  <w:pPr>
                    <w:jc w:val="center"/>
                    <w:rPr>
                      <w:rFonts w:asciiTheme="minorHAnsi" w:eastAsia="Comic Sans MS,Arial" w:hAnsiTheme="minorHAnsi" w:cstheme="minorHAnsi"/>
                      <w:b/>
                      <w:bCs/>
                      <w:sz w:val="22"/>
                      <w:szCs w:val="22"/>
                    </w:rPr>
                  </w:pPr>
                  <w:r w:rsidRPr="000A05A9">
                    <w:rPr>
                      <w:rFonts w:asciiTheme="minorHAnsi" w:eastAsia="Comic Sans MS" w:hAnsiTheme="minorHAnsi" w:cstheme="minorHAnsi"/>
                      <w:b/>
                      <w:bCs/>
                      <w:sz w:val="22"/>
                      <w:szCs w:val="22"/>
                    </w:rPr>
                    <w:t xml:space="preserve">Number of Pupils </w:t>
                  </w:r>
                </w:p>
              </w:tc>
              <w:tc>
                <w:tcPr>
                  <w:tcW w:w="1636" w:type="dxa"/>
                </w:tcPr>
                <w:p w14:paraId="3934A3A1" w14:textId="00C655CF" w:rsidR="000A05A9" w:rsidRPr="000A05A9" w:rsidRDefault="000A05A9" w:rsidP="000A05A9">
                  <w:pPr>
                    <w:jc w:val="center"/>
                    <w:rPr>
                      <w:rFonts w:asciiTheme="minorHAnsi" w:hAnsiTheme="minorHAnsi" w:cstheme="minorHAnsi"/>
                      <w:b/>
                      <w:sz w:val="22"/>
                      <w:szCs w:val="22"/>
                    </w:rPr>
                  </w:pPr>
                  <w:r w:rsidRPr="000A05A9">
                    <w:rPr>
                      <w:rFonts w:asciiTheme="minorHAnsi" w:eastAsia="Comic Sans MS" w:hAnsiTheme="minorHAnsi" w:cstheme="minorHAnsi"/>
                      <w:b/>
                      <w:bCs/>
                      <w:sz w:val="22"/>
                      <w:szCs w:val="22"/>
                    </w:rPr>
                    <w:t xml:space="preserve">English &amp; Maths Achieved </w:t>
                  </w:r>
                </w:p>
              </w:tc>
              <w:tc>
                <w:tcPr>
                  <w:tcW w:w="1234" w:type="dxa"/>
                </w:tcPr>
                <w:p w14:paraId="33762484" w14:textId="77777777" w:rsidR="000A05A9" w:rsidRPr="000A05A9" w:rsidRDefault="000A05A9" w:rsidP="000A05A9">
                  <w:pPr>
                    <w:jc w:val="center"/>
                    <w:rPr>
                      <w:rFonts w:asciiTheme="minorHAnsi" w:eastAsia="Comic Sans MS,Arial" w:hAnsiTheme="minorHAnsi" w:cstheme="minorHAnsi"/>
                      <w:b/>
                      <w:bCs/>
                      <w:sz w:val="22"/>
                      <w:szCs w:val="22"/>
                    </w:rPr>
                  </w:pPr>
                  <w:r w:rsidRPr="000A05A9">
                    <w:rPr>
                      <w:rFonts w:asciiTheme="minorHAnsi" w:eastAsia="Comic Sans MS" w:hAnsiTheme="minorHAnsi" w:cstheme="minorHAnsi"/>
                      <w:b/>
                      <w:bCs/>
                      <w:sz w:val="22"/>
                      <w:szCs w:val="22"/>
                    </w:rPr>
                    <w:t>English</w:t>
                  </w:r>
                </w:p>
              </w:tc>
              <w:tc>
                <w:tcPr>
                  <w:tcW w:w="1227" w:type="dxa"/>
                </w:tcPr>
                <w:p w14:paraId="5663AB4D" w14:textId="77777777" w:rsidR="000A05A9" w:rsidRPr="000A05A9" w:rsidRDefault="000A05A9" w:rsidP="000A05A9">
                  <w:pPr>
                    <w:jc w:val="center"/>
                    <w:rPr>
                      <w:rFonts w:asciiTheme="minorHAnsi" w:eastAsia="Comic Sans MS,Arial" w:hAnsiTheme="minorHAnsi" w:cstheme="minorHAnsi"/>
                      <w:b/>
                      <w:bCs/>
                      <w:sz w:val="22"/>
                      <w:szCs w:val="22"/>
                    </w:rPr>
                  </w:pPr>
                  <w:r w:rsidRPr="000A05A9">
                    <w:rPr>
                      <w:rFonts w:asciiTheme="minorHAnsi" w:eastAsia="Comic Sans MS" w:hAnsiTheme="minorHAnsi" w:cstheme="minorHAnsi"/>
                      <w:b/>
                      <w:bCs/>
                      <w:sz w:val="22"/>
                      <w:szCs w:val="22"/>
                    </w:rPr>
                    <w:t>Maths</w:t>
                  </w:r>
                </w:p>
              </w:tc>
              <w:tc>
                <w:tcPr>
                  <w:tcW w:w="1166" w:type="dxa"/>
                </w:tcPr>
                <w:p w14:paraId="48AF9086" w14:textId="77777777" w:rsidR="000A05A9" w:rsidRPr="000A05A9" w:rsidRDefault="000A05A9" w:rsidP="000A05A9">
                  <w:pPr>
                    <w:jc w:val="center"/>
                    <w:rPr>
                      <w:rFonts w:asciiTheme="minorHAnsi" w:eastAsia="Comic Sans MS" w:hAnsiTheme="minorHAnsi" w:cstheme="minorHAnsi"/>
                      <w:b/>
                      <w:bCs/>
                      <w:sz w:val="22"/>
                      <w:szCs w:val="22"/>
                    </w:rPr>
                  </w:pPr>
                  <w:r w:rsidRPr="000A05A9">
                    <w:rPr>
                      <w:rFonts w:asciiTheme="minorHAnsi" w:eastAsia="Comic Sans MS" w:hAnsiTheme="minorHAnsi" w:cstheme="minorHAnsi"/>
                      <w:b/>
                      <w:bCs/>
                      <w:sz w:val="22"/>
                      <w:szCs w:val="22"/>
                    </w:rPr>
                    <w:t>Average number of GCSEs</w:t>
                  </w:r>
                </w:p>
              </w:tc>
              <w:tc>
                <w:tcPr>
                  <w:tcW w:w="1667" w:type="dxa"/>
                </w:tcPr>
                <w:p w14:paraId="12483F92" w14:textId="77777777" w:rsidR="000A05A9" w:rsidRPr="000A05A9" w:rsidRDefault="000A05A9" w:rsidP="000A05A9">
                  <w:pPr>
                    <w:jc w:val="center"/>
                    <w:rPr>
                      <w:rFonts w:asciiTheme="minorHAnsi" w:eastAsia="Comic Sans MS" w:hAnsiTheme="minorHAnsi" w:cstheme="minorHAnsi"/>
                      <w:b/>
                      <w:bCs/>
                      <w:sz w:val="22"/>
                      <w:szCs w:val="22"/>
                    </w:rPr>
                  </w:pPr>
                  <w:r w:rsidRPr="000A05A9">
                    <w:rPr>
                      <w:rFonts w:asciiTheme="minorHAnsi" w:eastAsia="Comic Sans MS" w:hAnsiTheme="minorHAnsi" w:cstheme="minorHAnsi"/>
                      <w:b/>
                      <w:bCs/>
                      <w:sz w:val="22"/>
                      <w:szCs w:val="22"/>
                    </w:rPr>
                    <w:t>Average number of outcomes</w:t>
                  </w:r>
                </w:p>
              </w:tc>
            </w:tr>
            <w:tr w:rsidR="000A05A9" w:rsidRPr="004165A4" w14:paraId="2214C26E" w14:textId="77777777" w:rsidTr="006D1237">
              <w:trPr>
                <w:trHeight w:val="458"/>
                <w:jc w:val="center"/>
              </w:trPr>
              <w:tc>
                <w:tcPr>
                  <w:tcW w:w="1882" w:type="dxa"/>
                  <w:vAlign w:val="center"/>
                </w:tcPr>
                <w:p w14:paraId="4CCA9EC5" w14:textId="77777777" w:rsidR="000A05A9" w:rsidRPr="000A05A9" w:rsidRDefault="000A05A9" w:rsidP="000A05A9">
                  <w:pPr>
                    <w:jc w:val="center"/>
                    <w:rPr>
                      <w:rFonts w:asciiTheme="minorHAnsi" w:eastAsia="Comic Sans MS,Arial" w:hAnsiTheme="minorHAnsi" w:cstheme="minorHAnsi"/>
                      <w:b/>
                      <w:bCs/>
                      <w:sz w:val="22"/>
                      <w:szCs w:val="22"/>
                    </w:rPr>
                  </w:pPr>
                  <w:r w:rsidRPr="000A05A9">
                    <w:rPr>
                      <w:rFonts w:asciiTheme="minorHAnsi" w:eastAsia="Comic Sans MS" w:hAnsiTheme="minorHAnsi" w:cstheme="minorHAnsi"/>
                      <w:b/>
                      <w:bCs/>
                      <w:sz w:val="22"/>
                      <w:szCs w:val="22"/>
                    </w:rPr>
                    <w:t>Total year group</w:t>
                  </w:r>
                </w:p>
              </w:tc>
              <w:tc>
                <w:tcPr>
                  <w:tcW w:w="1248" w:type="dxa"/>
                  <w:tcBorders>
                    <w:top w:val="single" w:sz="6" w:space="0" w:color="auto"/>
                    <w:left w:val="single" w:sz="6" w:space="0" w:color="auto"/>
                    <w:bottom w:val="single" w:sz="6" w:space="0" w:color="auto"/>
                    <w:right w:val="single" w:sz="6" w:space="0" w:color="auto"/>
                  </w:tcBorders>
                  <w:shd w:val="clear" w:color="auto" w:fill="auto"/>
                  <w:vAlign w:val="center"/>
                </w:tcPr>
                <w:p w14:paraId="1439BF1D" w14:textId="77777777" w:rsidR="000A05A9" w:rsidRPr="000A05A9" w:rsidRDefault="000A05A9" w:rsidP="000A05A9">
                  <w:pPr>
                    <w:jc w:val="center"/>
                    <w:rPr>
                      <w:rFonts w:asciiTheme="minorHAnsi" w:eastAsia="Comic Sans MS" w:hAnsiTheme="minorHAnsi" w:cstheme="minorHAnsi"/>
                      <w:sz w:val="22"/>
                      <w:szCs w:val="22"/>
                    </w:rPr>
                  </w:pPr>
                  <w:r w:rsidRPr="000A05A9">
                    <w:rPr>
                      <w:rStyle w:val="eop"/>
                      <w:rFonts w:asciiTheme="minorHAnsi" w:hAnsiTheme="minorHAnsi" w:cstheme="minorHAnsi"/>
                      <w:sz w:val="22"/>
                      <w:szCs w:val="22"/>
                    </w:rPr>
                    <w:t>30 </w:t>
                  </w:r>
                </w:p>
              </w:tc>
              <w:tc>
                <w:tcPr>
                  <w:tcW w:w="1636" w:type="dxa"/>
                  <w:vAlign w:val="center"/>
                </w:tcPr>
                <w:p w14:paraId="06658352" w14:textId="77777777" w:rsidR="000A05A9" w:rsidRPr="000A05A9" w:rsidRDefault="000A05A9" w:rsidP="000A05A9">
                  <w:pPr>
                    <w:jc w:val="center"/>
                    <w:rPr>
                      <w:rFonts w:asciiTheme="minorHAnsi" w:eastAsia="Comic Sans MS,Arial" w:hAnsiTheme="minorHAnsi" w:cstheme="minorHAnsi"/>
                      <w:sz w:val="22"/>
                      <w:szCs w:val="22"/>
                    </w:rPr>
                  </w:pPr>
                  <w:r w:rsidRPr="000A05A9">
                    <w:rPr>
                      <w:rFonts w:asciiTheme="minorHAnsi" w:eastAsia="Comic Sans MS,Arial" w:hAnsiTheme="minorHAnsi" w:cstheme="minorHAnsi"/>
                      <w:sz w:val="22"/>
                      <w:szCs w:val="22"/>
                    </w:rPr>
                    <w:t>24 (80%)</w:t>
                  </w:r>
                </w:p>
              </w:tc>
              <w:tc>
                <w:tcPr>
                  <w:tcW w:w="1234" w:type="dxa"/>
                  <w:vAlign w:val="center"/>
                </w:tcPr>
                <w:p w14:paraId="7F6B94B6" w14:textId="77777777" w:rsidR="000A05A9" w:rsidRPr="000A05A9" w:rsidRDefault="000A05A9" w:rsidP="000A05A9">
                  <w:pPr>
                    <w:jc w:val="center"/>
                    <w:rPr>
                      <w:rFonts w:asciiTheme="minorHAnsi" w:eastAsia="Comic Sans MS,Arial" w:hAnsiTheme="minorHAnsi" w:cstheme="minorHAnsi"/>
                      <w:sz w:val="22"/>
                      <w:szCs w:val="22"/>
                    </w:rPr>
                  </w:pPr>
                  <w:r w:rsidRPr="000A05A9">
                    <w:rPr>
                      <w:rFonts w:asciiTheme="minorHAnsi" w:eastAsia="Comic Sans MS,Arial" w:hAnsiTheme="minorHAnsi" w:cstheme="minorHAnsi"/>
                      <w:sz w:val="22"/>
                      <w:szCs w:val="22"/>
                    </w:rPr>
                    <w:t>26 (87%)</w:t>
                  </w:r>
                </w:p>
              </w:tc>
              <w:tc>
                <w:tcPr>
                  <w:tcW w:w="1227" w:type="dxa"/>
                  <w:vAlign w:val="center"/>
                </w:tcPr>
                <w:p w14:paraId="5D350599" w14:textId="77777777" w:rsidR="000A05A9" w:rsidRPr="000A05A9" w:rsidRDefault="000A05A9" w:rsidP="000A05A9">
                  <w:pPr>
                    <w:jc w:val="center"/>
                    <w:rPr>
                      <w:rFonts w:asciiTheme="minorHAnsi" w:eastAsia="Comic Sans MS,Arial" w:hAnsiTheme="minorHAnsi" w:cstheme="minorHAnsi"/>
                      <w:sz w:val="22"/>
                      <w:szCs w:val="22"/>
                    </w:rPr>
                  </w:pPr>
                  <w:r w:rsidRPr="000A05A9">
                    <w:rPr>
                      <w:rFonts w:asciiTheme="minorHAnsi" w:eastAsia="Comic Sans MS,Arial" w:hAnsiTheme="minorHAnsi" w:cstheme="minorHAnsi"/>
                      <w:sz w:val="22"/>
                      <w:szCs w:val="22"/>
                    </w:rPr>
                    <w:t>25 (83%)</w:t>
                  </w:r>
                </w:p>
              </w:tc>
              <w:tc>
                <w:tcPr>
                  <w:tcW w:w="1166" w:type="dxa"/>
                </w:tcPr>
                <w:p w14:paraId="5624A59B" w14:textId="77777777" w:rsidR="000A05A9" w:rsidRPr="000A05A9" w:rsidRDefault="000A05A9" w:rsidP="000A05A9">
                  <w:pPr>
                    <w:jc w:val="center"/>
                    <w:rPr>
                      <w:rFonts w:asciiTheme="minorHAnsi" w:eastAsia="Comic Sans MS,Arial" w:hAnsiTheme="minorHAnsi" w:cstheme="minorHAnsi"/>
                      <w:sz w:val="22"/>
                      <w:szCs w:val="22"/>
                    </w:rPr>
                  </w:pPr>
                  <w:r w:rsidRPr="000A05A9">
                    <w:rPr>
                      <w:rFonts w:asciiTheme="minorHAnsi" w:eastAsia="Comic Sans MS,Arial" w:hAnsiTheme="minorHAnsi" w:cstheme="minorHAnsi"/>
                      <w:sz w:val="22"/>
                      <w:szCs w:val="22"/>
                    </w:rPr>
                    <w:t>3.5</w:t>
                  </w:r>
                </w:p>
              </w:tc>
              <w:tc>
                <w:tcPr>
                  <w:tcW w:w="1667" w:type="dxa"/>
                </w:tcPr>
                <w:p w14:paraId="56F22225" w14:textId="77777777" w:rsidR="000A05A9" w:rsidRPr="000A05A9" w:rsidRDefault="000A05A9" w:rsidP="000A05A9">
                  <w:pPr>
                    <w:jc w:val="center"/>
                    <w:rPr>
                      <w:rFonts w:asciiTheme="minorHAnsi" w:eastAsia="Comic Sans MS,Arial" w:hAnsiTheme="minorHAnsi" w:cstheme="minorHAnsi"/>
                      <w:sz w:val="22"/>
                      <w:szCs w:val="22"/>
                    </w:rPr>
                  </w:pPr>
                  <w:r w:rsidRPr="000A05A9">
                    <w:rPr>
                      <w:rFonts w:asciiTheme="minorHAnsi" w:eastAsia="Comic Sans MS,Arial" w:hAnsiTheme="minorHAnsi" w:cstheme="minorHAnsi"/>
                      <w:sz w:val="22"/>
                      <w:szCs w:val="22"/>
                    </w:rPr>
                    <w:t>4.0</w:t>
                  </w:r>
                </w:p>
              </w:tc>
            </w:tr>
            <w:tr w:rsidR="000A05A9" w:rsidRPr="004165A4" w14:paraId="3BFA06CD" w14:textId="77777777" w:rsidTr="006D1237">
              <w:trPr>
                <w:trHeight w:val="458"/>
                <w:jc w:val="center"/>
              </w:trPr>
              <w:tc>
                <w:tcPr>
                  <w:tcW w:w="1882" w:type="dxa"/>
                  <w:vAlign w:val="center"/>
                </w:tcPr>
                <w:p w14:paraId="1F9C43D1" w14:textId="1D90BD9E" w:rsidR="000A05A9" w:rsidRPr="000A05A9" w:rsidRDefault="000A05A9" w:rsidP="000A05A9">
                  <w:pPr>
                    <w:jc w:val="center"/>
                    <w:rPr>
                      <w:rFonts w:asciiTheme="minorHAnsi" w:hAnsiTheme="minorHAnsi" w:cstheme="minorHAnsi"/>
                      <w:b/>
                      <w:sz w:val="22"/>
                      <w:szCs w:val="22"/>
                    </w:rPr>
                  </w:pPr>
                  <w:r w:rsidRPr="000A05A9">
                    <w:rPr>
                      <w:rFonts w:asciiTheme="minorHAnsi" w:eastAsia="Comic Sans MS,Arial" w:hAnsiTheme="minorHAnsi" w:cstheme="minorHAnsi"/>
                      <w:b/>
                      <w:bCs/>
                      <w:sz w:val="22"/>
                      <w:szCs w:val="22"/>
                    </w:rPr>
                    <w:t>PP</w:t>
                  </w:r>
                </w:p>
              </w:tc>
              <w:tc>
                <w:tcPr>
                  <w:tcW w:w="1248" w:type="dxa"/>
                  <w:tcBorders>
                    <w:top w:val="single" w:sz="6" w:space="0" w:color="auto"/>
                    <w:left w:val="single" w:sz="6" w:space="0" w:color="auto"/>
                    <w:bottom w:val="single" w:sz="6" w:space="0" w:color="auto"/>
                    <w:right w:val="single" w:sz="6" w:space="0" w:color="auto"/>
                  </w:tcBorders>
                  <w:shd w:val="clear" w:color="auto" w:fill="auto"/>
                  <w:vAlign w:val="center"/>
                </w:tcPr>
                <w:p w14:paraId="48E26086" w14:textId="77777777" w:rsidR="000A05A9" w:rsidRPr="000A05A9" w:rsidRDefault="000A05A9" w:rsidP="000A05A9">
                  <w:pPr>
                    <w:jc w:val="center"/>
                    <w:rPr>
                      <w:rFonts w:asciiTheme="minorHAnsi" w:eastAsia="Comic Sans MS,Arial" w:hAnsiTheme="minorHAnsi" w:cstheme="minorHAnsi"/>
                      <w:sz w:val="22"/>
                      <w:szCs w:val="22"/>
                    </w:rPr>
                  </w:pPr>
                  <w:r w:rsidRPr="000A05A9">
                    <w:rPr>
                      <w:rFonts w:asciiTheme="minorHAnsi" w:eastAsia="Comic Sans MS,Arial" w:hAnsiTheme="minorHAnsi" w:cstheme="minorHAnsi"/>
                      <w:sz w:val="22"/>
                      <w:szCs w:val="22"/>
                    </w:rPr>
                    <w:t>14</w:t>
                  </w:r>
                </w:p>
              </w:tc>
              <w:tc>
                <w:tcPr>
                  <w:tcW w:w="1636" w:type="dxa"/>
                  <w:vAlign w:val="center"/>
                </w:tcPr>
                <w:p w14:paraId="2F9DC5FA" w14:textId="77777777" w:rsidR="000A05A9" w:rsidRPr="000A05A9" w:rsidRDefault="000A05A9" w:rsidP="000A05A9">
                  <w:pPr>
                    <w:jc w:val="center"/>
                    <w:rPr>
                      <w:rFonts w:asciiTheme="minorHAnsi" w:eastAsia="Comic Sans MS,Arial" w:hAnsiTheme="minorHAnsi" w:cstheme="minorHAnsi"/>
                      <w:sz w:val="22"/>
                      <w:szCs w:val="22"/>
                    </w:rPr>
                  </w:pPr>
                  <w:r w:rsidRPr="000A05A9">
                    <w:rPr>
                      <w:rFonts w:asciiTheme="minorHAnsi" w:eastAsia="Comic Sans MS,Arial" w:hAnsiTheme="minorHAnsi" w:cstheme="minorHAnsi"/>
                      <w:sz w:val="22"/>
                      <w:szCs w:val="22"/>
                    </w:rPr>
                    <w:t>8 (57%)</w:t>
                  </w:r>
                </w:p>
              </w:tc>
              <w:tc>
                <w:tcPr>
                  <w:tcW w:w="1234" w:type="dxa"/>
                  <w:vAlign w:val="center"/>
                </w:tcPr>
                <w:p w14:paraId="52C0E4BB" w14:textId="77777777" w:rsidR="000A05A9" w:rsidRPr="000A05A9" w:rsidRDefault="000A05A9" w:rsidP="000A05A9">
                  <w:pPr>
                    <w:jc w:val="center"/>
                    <w:rPr>
                      <w:rFonts w:asciiTheme="minorHAnsi" w:eastAsia="Comic Sans MS,Arial" w:hAnsiTheme="minorHAnsi" w:cstheme="minorHAnsi"/>
                      <w:sz w:val="22"/>
                      <w:szCs w:val="22"/>
                    </w:rPr>
                  </w:pPr>
                  <w:r w:rsidRPr="000A05A9">
                    <w:rPr>
                      <w:rFonts w:asciiTheme="minorHAnsi" w:eastAsia="Comic Sans MS,Arial" w:hAnsiTheme="minorHAnsi" w:cstheme="minorHAnsi"/>
                      <w:sz w:val="22"/>
                      <w:szCs w:val="22"/>
                    </w:rPr>
                    <w:t>10 (71%)</w:t>
                  </w:r>
                </w:p>
              </w:tc>
              <w:tc>
                <w:tcPr>
                  <w:tcW w:w="1227" w:type="dxa"/>
                  <w:vAlign w:val="center"/>
                </w:tcPr>
                <w:p w14:paraId="4D13BCC3" w14:textId="77777777" w:rsidR="000A05A9" w:rsidRPr="000A05A9" w:rsidRDefault="000A05A9" w:rsidP="000A05A9">
                  <w:pPr>
                    <w:jc w:val="center"/>
                    <w:rPr>
                      <w:rFonts w:asciiTheme="minorHAnsi" w:eastAsia="Comic Sans MS,Arial" w:hAnsiTheme="minorHAnsi" w:cstheme="minorHAnsi"/>
                      <w:sz w:val="22"/>
                      <w:szCs w:val="22"/>
                    </w:rPr>
                  </w:pPr>
                  <w:r w:rsidRPr="000A05A9">
                    <w:rPr>
                      <w:rFonts w:asciiTheme="minorHAnsi" w:eastAsia="Comic Sans MS,Arial" w:hAnsiTheme="minorHAnsi" w:cstheme="minorHAnsi"/>
                      <w:sz w:val="22"/>
                      <w:szCs w:val="22"/>
                    </w:rPr>
                    <w:t>9 (64%)</w:t>
                  </w:r>
                </w:p>
              </w:tc>
              <w:tc>
                <w:tcPr>
                  <w:tcW w:w="1166" w:type="dxa"/>
                </w:tcPr>
                <w:p w14:paraId="093D7516" w14:textId="77777777" w:rsidR="000A05A9" w:rsidRPr="000A05A9" w:rsidRDefault="000A05A9" w:rsidP="000A05A9">
                  <w:pPr>
                    <w:jc w:val="center"/>
                    <w:rPr>
                      <w:rFonts w:asciiTheme="minorHAnsi" w:eastAsia="Comic Sans MS,Arial" w:hAnsiTheme="minorHAnsi" w:cstheme="minorHAnsi"/>
                      <w:sz w:val="22"/>
                      <w:szCs w:val="22"/>
                    </w:rPr>
                  </w:pPr>
                  <w:r w:rsidRPr="000A05A9">
                    <w:rPr>
                      <w:rFonts w:asciiTheme="minorHAnsi" w:eastAsia="Comic Sans MS,Arial" w:hAnsiTheme="minorHAnsi" w:cstheme="minorHAnsi"/>
                      <w:sz w:val="22"/>
                      <w:szCs w:val="22"/>
                    </w:rPr>
                    <w:t>3.1</w:t>
                  </w:r>
                </w:p>
              </w:tc>
              <w:tc>
                <w:tcPr>
                  <w:tcW w:w="1667" w:type="dxa"/>
                </w:tcPr>
                <w:p w14:paraId="15C18438" w14:textId="77777777" w:rsidR="000A05A9" w:rsidRPr="000A05A9" w:rsidRDefault="000A05A9" w:rsidP="000A05A9">
                  <w:pPr>
                    <w:jc w:val="center"/>
                    <w:rPr>
                      <w:rFonts w:asciiTheme="minorHAnsi" w:eastAsia="Comic Sans MS,Arial" w:hAnsiTheme="minorHAnsi" w:cstheme="minorHAnsi"/>
                      <w:sz w:val="22"/>
                      <w:szCs w:val="22"/>
                    </w:rPr>
                  </w:pPr>
                  <w:r w:rsidRPr="000A05A9">
                    <w:rPr>
                      <w:rFonts w:asciiTheme="minorHAnsi" w:eastAsia="Comic Sans MS,Arial" w:hAnsiTheme="minorHAnsi" w:cstheme="minorHAnsi"/>
                      <w:sz w:val="22"/>
                      <w:szCs w:val="22"/>
                    </w:rPr>
                    <w:t>3.4</w:t>
                  </w:r>
                </w:p>
              </w:tc>
            </w:tr>
            <w:tr w:rsidR="000A05A9" w:rsidRPr="004165A4" w14:paraId="3CDC6531" w14:textId="77777777" w:rsidTr="006D1237">
              <w:trPr>
                <w:trHeight w:val="458"/>
                <w:jc w:val="center"/>
              </w:trPr>
              <w:tc>
                <w:tcPr>
                  <w:tcW w:w="1882" w:type="dxa"/>
                  <w:vAlign w:val="center"/>
                </w:tcPr>
                <w:p w14:paraId="01E3B1A1" w14:textId="77777777" w:rsidR="000A05A9" w:rsidRPr="000A05A9" w:rsidRDefault="000A05A9" w:rsidP="000A05A9">
                  <w:pPr>
                    <w:jc w:val="center"/>
                    <w:rPr>
                      <w:rFonts w:asciiTheme="minorHAnsi" w:eastAsia="Comic Sans MS,Arial" w:hAnsiTheme="minorHAnsi" w:cstheme="minorHAnsi"/>
                      <w:b/>
                      <w:bCs/>
                      <w:sz w:val="22"/>
                      <w:szCs w:val="22"/>
                    </w:rPr>
                  </w:pPr>
                  <w:r w:rsidRPr="000A05A9">
                    <w:rPr>
                      <w:rFonts w:asciiTheme="minorHAnsi" w:eastAsia="Comic Sans MS" w:hAnsiTheme="minorHAnsi" w:cstheme="minorHAnsi"/>
                      <w:b/>
                      <w:bCs/>
                      <w:sz w:val="22"/>
                      <w:szCs w:val="22"/>
                    </w:rPr>
                    <w:t>Non PP</w:t>
                  </w:r>
                </w:p>
              </w:tc>
              <w:tc>
                <w:tcPr>
                  <w:tcW w:w="1248" w:type="dxa"/>
                  <w:tcBorders>
                    <w:top w:val="single" w:sz="6" w:space="0" w:color="auto"/>
                    <w:left w:val="single" w:sz="6" w:space="0" w:color="auto"/>
                    <w:bottom w:val="single" w:sz="6" w:space="0" w:color="auto"/>
                    <w:right w:val="single" w:sz="6" w:space="0" w:color="auto"/>
                  </w:tcBorders>
                  <w:shd w:val="clear" w:color="auto" w:fill="auto"/>
                  <w:vAlign w:val="center"/>
                </w:tcPr>
                <w:p w14:paraId="17222816" w14:textId="77777777" w:rsidR="000A05A9" w:rsidRPr="000A05A9" w:rsidRDefault="000A05A9" w:rsidP="000A05A9">
                  <w:pPr>
                    <w:jc w:val="center"/>
                    <w:rPr>
                      <w:rFonts w:asciiTheme="minorHAnsi" w:eastAsia="Comic Sans MS,Arial" w:hAnsiTheme="minorHAnsi" w:cstheme="minorHAnsi"/>
                      <w:sz w:val="22"/>
                      <w:szCs w:val="22"/>
                    </w:rPr>
                  </w:pPr>
                  <w:r w:rsidRPr="000A05A9">
                    <w:rPr>
                      <w:rFonts w:asciiTheme="minorHAnsi" w:eastAsia="Comic Sans MS,Arial" w:hAnsiTheme="minorHAnsi" w:cstheme="minorHAnsi"/>
                      <w:sz w:val="22"/>
                      <w:szCs w:val="22"/>
                    </w:rPr>
                    <w:t>16</w:t>
                  </w:r>
                </w:p>
              </w:tc>
              <w:tc>
                <w:tcPr>
                  <w:tcW w:w="1636" w:type="dxa"/>
                  <w:vAlign w:val="center"/>
                </w:tcPr>
                <w:p w14:paraId="1468891F" w14:textId="77777777" w:rsidR="000A05A9" w:rsidRPr="000A05A9" w:rsidRDefault="000A05A9" w:rsidP="000A05A9">
                  <w:pPr>
                    <w:jc w:val="center"/>
                    <w:rPr>
                      <w:rFonts w:asciiTheme="minorHAnsi" w:eastAsia="Comic Sans MS,Arial" w:hAnsiTheme="minorHAnsi" w:cstheme="minorHAnsi"/>
                      <w:sz w:val="22"/>
                      <w:szCs w:val="22"/>
                    </w:rPr>
                  </w:pPr>
                  <w:r w:rsidRPr="000A05A9">
                    <w:rPr>
                      <w:rFonts w:asciiTheme="minorHAnsi" w:eastAsia="Comic Sans MS,Arial" w:hAnsiTheme="minorHAnsi" w:cstheme="minorHAnsi"/>
                      <w:sz w:val="22"/>
                      <w:szCs w:val="22"/>
                    </w:rPr>
                    <w:t>16 (100%)</w:t>
                  </w:r>
                </w:p>
              </w:tc>
              <w:tc>
                <w:tcPr>
                  <w:tcW w:w="1234" w:type="dxa"/>
                  <w:vAlign w:val="center"/>
                </w:tcPr>
                <w:p w14:paraId="09612C6D" w14:textId="77777777" w:rsidR="000A05A9" w:rsidRPr="000A05A9" w:rsidRDefault="000A05A9" w:rsidP="000A05A9">
                  <w:pPr>
                    <w:jc w:val="center"/>
                    <w:rPr>
                      <w:rFonts w:asciiTheme="minorHAnsi" w:eastAsia="Comic Sans MS,Arial" w:hAnsiTheme="minorHAnsi" w:cstheme="minorHAnsi"/>
                      <w:sz w:val="22"/>
                      <w:szCs w:val="22"/>
                    </w:rPr>
                  </w:pPr>
                  <w:r w:rsidRPr="000A05A9">
                    <w:rPr>
                      <w:rFonts w:asciiTheme="minorHAnsi" w:eastAsia="Comic Sans MS,Arial" w:hAnsiTheme="minorHAnsi" w:cstheme="minorHAnsi"/>
                      <w:sz w:val="22"/>
                      <w:szCs w:val="22"/>
                    </w:rPr>
                    <w:t>16 (100%)</w:t>
                  </w:r>
                </w:p>
              </w:tc>
              <w:tc>
                <w:tcPr>
                  <w:tcW w:w="1227" w:type="dxa"/>
                  <w:vAlign w:val="center"/>
                </w:tcPr>
                <w:p w14:paraId="6FF213FB" w14:textId="77777777" w:rsidR="000A05A9" w:rsidRPr="000A05A9" w:rsidRDefault="000A05A9" w:rsidP="000A05A9">
                  <w:pPr>
                    <w:jc w:val="center"/>
                    <w:rPr>
                      <w:rFonts w:asciiTheme="minorHAnsi" w:eastAsia="Comic Sans MS,Arial" w:hAnsiTheme="minorHAnsi" w:cstheme="minorHAnsi"/>
                      <w:sz w:val="22"/>
                      <w:szCs w:val="22"/>
                    </w:rPr>
                  </w:pPr>
                  <w:r w:rsidRPr="000A05A9">
                    <w:rPr>
                      <w:rFonts w:asciiTheme="minorHAnsi" w:eastAsia="Comic Sans MS,Arial" w:hAnsiTheme="minorHAnsi" w:cstheme="minorHAnsi"/>
                      <w:sz w:val="22"/>
                      <w:szCs w:val="22"/>
                    </w:rPr>
                    <w:t>16 (100%)</w:t>
                  </w:r>
                </w:p>
              </w:tc>
              <w:tc>
                <w:tcPr>
                  <w:tcW w:w="1166" w:type="dxa"/>
                </w:tcPr>
                <w:p w14:paraId="34F581D7" w14:textId="77777777" w:rsidR="000A05A9" w:rsidRPr="000A05A9" w:rsidRDefault="000A05A9" w:rsidP="000A05A9">
                  <w:pPr>
                    <w:jc w:val="center"/>
                    <w:rPr>
                      <w:rFonts w:asciiTheme="minorHAnsi" w:eastAsia="Comic Sans MS,Arial" w:hAnsiTheme="minorHAnsi" w:cstheme="minorHAnsi"/>
                      <w:sz w:val="22"/>
                      <w:szCs w:val="22"/>
                    </w:rPr>
                  </w:pPr>
                  <w:r w:rsidRPr="000A05A9">
                    <w:rPr>
                      <w:rFonts w:asciiTheme="minorHAnsi" w:eastAsia="Comic Sans MS,Arial" w:hAnsiTheme="minorHAnsi" w:cstheme="minorHAnsi"/>
                      <w:sz w:val="22"/>
                      <w:szCs w:val="22"/>
                    </w:rPr>
                    <w:t>3.9</w:t>
                  </w:r>
                </w:p>
              </w:tc>
              <w:tc>
                <w:tcPr>
                  <w:tcW w:w="1667" w:type="dxa"/>
                </w:tcPr>
                <w:p w14:paraId="4982E01C" w14:textId="77777777" w:rsidR="000A05A9" w:rsidRPr="000A05A9" w:rsidRDefault="000A05A9" w:rsidP="000A05A9">
                  <w:pPr>
                    <w:jc w:val="center"/>
                    <w:rPr>
                      <w:rFonts w:asciiTheme="minorHAnsi" w:eastAsia="Comic Sans MS,Arial" w:hAnsiTheme="minorHAnsi" w:cstheme="minorHAnsi"/>
                      <w:sz w:val="22"/>
                      <w:szCs w:val="22"/>
                    </w:rPr>
                  </w:pPr>
                  <w:r w:rsidRPr="000A05A9">
                    <w:rPr>
                      <w:rFonts w:asciiTheme="minorHAnsi" w:eastAsia="Comic Sans MS,Arial" w:hAnsiTheme="minorHAnsi" w:cstheme="minorHAnsi"/>
                      <w:sz w:val="22"/>
                      <w:szCs w:val="22"/>
                    </w:rPr>
                    <w:t>4.6</w:t>
                  </w:r>
                </w:p>
              </w:tc>
            </w:tr>
          </w:tbl>
          <w:p w14:paraId="19A0A6C7" w14:textId="3D14A331" w:rsidR="000A05A9" w:rsidRPr="002F76FE" w:rsidRDefault="00540B4F" w:rsidP="002F76FE">
            <w:pPr>
              <w:spacing w:after="0"/>
              <w:jc w:val="both"/>
              <w:rPr>
                <w:rFonts w:cs="Arial"/>
                <w:sz w:val="20"/>
                <w:szCs w:val="20"/>
              </w:rPr>
            </w:pPr>
            <w:r>
              <w:rPr>
                <w:rFonts w:cs="Arial"/>
                <w:sz w:val="20"/>
                <w:szCs w:val="20"/>
              </w:rPr>
              <w:lastRenderedPageBreak/>
              <w:t>Attendance for the</w:t>
            </w:r>
            <w:r w:rsidR="00AC7E79">
              <w:rPr>
                <w:rFonts w:cs="Arial"/>
                <w:sz w:val="20"/>
                <w:szCs w:val="20"/>
              </w:rPr>
              <w:t xml:space="preserve"> academy was above that of the national average for AP academies and PRUs (52%)</w:t>
            </w:r>
            <w:r w:rsidR="002E7823">
              <w:rPr>
                <w:rFonts w:cs="Arial"/>
                <w:sz w:val="20"/>
                <w:szCs w:val="20"/>
              </w:rPr>
              <w:t>, V</w:t>
            </w:r>
            <w:r w:rsidR="001B1206">
              <w:rPr>
                <w:rFonts w:cs="Arial"/>
                <w:sz w:val="20"/>
                <w:szCs w:val="20"/>
              </w:rPr>
              <w:t>’</w:t>
            </w:r>
            <w:r w:rsidR="002E7823">
              <w:rPr>
                <w:rFonts w:cs="Arial"/>
                <w:sz w:val="20"/>
                <w:szCs w:val="20"/>
              </w:rPr>
              <w:t>s our 60.23%. PP pupil</w:t>
            </w:r>
            <w:r w:rsidR="009C0457">
              <w:rPr>
                <w:rFonts w:cs="Arial"/>
                <w:sz w:val="20"/>
                <w:szCs w:val="20"/>
              </w:rPr>
              <w:t>s</w:t>
            </w:r>
            <w:r w:rsidR="002E7823">
              <w:rPr>
                <w:rFonts w:cs="Arial"/>
                <w:sz w:val="20"/>
                <w:szCs w:val="20"/>
              </w:rPr>
              <w:t xml:space="preserve"> enter</w:t>
            </w:r>
            <w:r w:rsidR="009C0457">
              <w:rPr>
                <w:rFonts w:cs="Arial"/>
                <w:sz w:val="20"/>
                <w:szCs w:val="20"/>
              </w:rPr>
              <w:t>ed</w:t>
            </w:r>
            <w:r w:rsidR="002E7823">
              <w:rPr>
                <w:rFonts w:cs="Arial"/>
                <w:sz w:val="20"/>
                <w:szCs w:val="20"/>
              </w:rPr>
              <w:t xml:space="preserve"> the academy with a </w:t>
            </w:r>
            <w:r w:rsidR="00BB114F">
              <w:rPr>
                <w:rFonts w:cs="Arial"/>
                <w:sz w:val="20"/>
                <w:szCs w:val="20"/>
              </w:rPr>
              <w:t xml:space="preserve">3% </w:t>
            </w:r>
            <w:r w:rsidR="002E7823">
              <w:rPr>
                <w:rFonts w:cs="Arial"/>
                <w:sz w:val="20"/>
                <w:szCs w:val="20"/>
              </w:rPr>
              <w:t xml:space="preserve">lower attendance on average that their peers and </w:t>
            </w:r>
            <w:r w:rsidR="00504189">
              <w:rPr>
                <w:rFonts w:cs="Arial"/>
                <w:sz w:val="20"/>
                <w:szCs w:val="20"/>
              </w:rPr>
              <w:t xml:space="preserve">56% </w:t>
            </w:r>
            <w:r w:rsidR="002E7823">
              <w:rPr>
                <w:rFonts w:cs="Arial"/>
                <w:sz w:val="20"/>
                <w:szCs w:val="20"/>
              </w:rPr>
              <w:t>ma</w:t>
            </w:r>
            <w:r w:rsidR="009C0457">
              <w:rPr>
                <w:rFonts w:cs="Arial"/>
                <w:sz w:val="20"/>
                <w:szCs w:val="20"/>
              </w:rPr>
              <w:t>d</w:t>
            </w:r>
            <w:r w:rsidR="002E7823">
              <w:rPr>
                <w:rFonts w:cs="Arial"/>
                <w:sz w:val="20"/>
                <w:szCs w:val="20"/>
              </w:rPr>
              <w:t xml:space="preserve">e </w:t>
            </w:r>
            <w:r w:rsidR="009C0457">
              <w:rPr>
                <w:rFonts w:cs="Arial"/>
                <w:sz w:val="20"/>
                <w:szCs w:val="20"/>
              </w:rPr>
              <w:t>improvements o</w:t>
            </w:r>
            <w:r w:rsidR="00504189">
              <w:rPr>
                <w:rFonts w:cs="Arial"/>
                <w:sz w:val="20"/>
                <w:szCs w:val="20"/>
              </w:rPr>
              <w:t>n their attendance compared to 48% of their non</w:t>
            </w:r>
            <w:r w:rsidR="001B1206">
              <w:rPr>
                <w:rFonts w:cs="Arial"/>
                <w:sz w:val="20"/>
                <w:szCs w:val="20"/>
              </w:rPr>
              <w:t>-</w:t>
            </w:r>
            <w:r w:rsidR="00504189">
              <w:rPr>
                <w:rFonts w:cs="Arial"/>
                <w:sz w:val="20"/>
                <w:szCs w:val="20"/>
              </w:rPr>
              <w:t xml:space="preserve"> PP peers. </w:t>
            </w:r>
            <w:r w:rsidR="009C0457">
              <w:rPr>
                <w:rFonts w:cs="Arial"/>
                <w:sz w:val="20"/>
                <w:szCs w:val="20"/>
              </w:rPr>
              <w:t xml:space="preserve"> </w:t>
            </w:r>
          </w:p>
          <w:p w14:paraId="2A7D5546" w14:textId="5DBD0A51" w:rsidR="00E66558" w:rsidRPr="002F76FE" w:rsidRDefault="00E66558" w:rsidP="00FC6749">
            <w:pPr>
              <w:spacing w:after="0"/>
              <w:jc w:val="both"/>
              <w:rPr>
                <w:sz w:val="20"/>
                <w:szCs w:val="20"/>
              </w:rPr>
            </w:pP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23058EF" w:rsidR="00E66558" w:rsidRDefault="00C05F4B">
            <w:pPr>
              <w:pStyle w:val="TableRow"/>
            </w:pPr>
            <w:r>
              <w:t>n/a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699F6CD9" w:rsidR="00E66558" w:rsidRDefault="00C05F4B">
            <w:pPr>
              <w:pStyle w:val="TableRow"/>
            </w:pPr>
            <w:r>
              <w:t>n/a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bookmarkEnd w:id="14"/>
      <w:bookmarkEnd w:id="15"/>
      <w:bookmarkEnd w:id="16"/>
    </w:tbl>
    <w:p w14:paraId="2A7D5564" w14:textId="77777777" w:rsidR="00E66558" w:rsidRDefault="00E66558" w:rsidP="00595CC3">
      <w:pPr>
        <w:pStyle w:val="Heading2"/>
        <w:spacing w:before="600"/>
      </w:pPr>
    </w:p>
    <w:sectPr w:rsidR="00E66558">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40617" w14:textId="77777777" w:rsidR="007C7CC5" w:rsidRDefault="007C7CC5">
      <w:pPr>
        <w:spacing w:after="0" w:line="240" w:lineRule="auto"/>
      </w:pPr>
      <w:r>
        <w:separator/>
      </w:r>
    </w:p>
  </w:endnote>
  <w:endnote w:type="continuationSeparator" w:id="0">
    <w:p w14:paraId="41BFD4D5" w14:textId="77777777" w:rsidR="007C7CC5" w:rsidRDefault="007C7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omic Sans MS,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F4A2B" w14:textId="77777777" w:rsidR="007C7CC5" w:rsidRDefault="007C7CC5">
      <w:pPr>
        <w:spacing w:after="0" w:line="240" w:lineRule="auto"/>
      </w:pPr>
      <w:r>
        <w:separator/>
      </w:r>
    </w:p>
  </w:footnote>
  <w:footnote w:type="continuationSeparator" w:id="0">
    <w:p w14:paraId="2339E1EE" w14:textId="77777777" w:rsidR="007C7CC5" w:rsidRDefault="007C7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4A70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3C41"/>
    <w:multiLevelType w:val="hybridMultilevel"/>
    <w:tmpl w:val="8790197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83C23A6"/>
    <w:multiLevelType w:val="hybridMultilevel"/>
    <w:tmpl w:val="C38A277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9CB344D"/>
    <w:multiLevelType w:val="hybridMultilevel"/>
    <w:tmpl w:val="7B60A9A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0" w15:restartNumberingAfterBreak="0">
    <w:nsid w:val="5B80037B"/>
    <w:multiLevelType w:val="hybridMultilevel"/>
    <w:tmpl w:val="5AC49C1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4E83782"/>
    <w:multiLevelType w:val="hybridMultilevel"/>
    <w:tmpl w:val="63DA0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677096C"/>
    <w:multiLevelType w:val="hybridMultilevel"/>
    <w:tmpl w:val="350EB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95946442">
    <w:abstractNumId w:val="4"/>
  </w:num>
  <w:num w:numId="2" w16cid:durableId="1884556710">
    <w:abstractNumId w:val="2"/>
  </w:num>
  <w:num w:numId="3" w16cid:durableId="112604317">
    <w:abstractNumId w:val="5"/>
  </w:num>
  <w:num w:numId="4" w16cid:durableId="424423874">
    <w:abstractNumId w:val="6"/>
  </w:num>
  <w:num w:numId="5" w16cid:durableId="106237143">
    <w:abstractNumId w:val="1"/>
  </w:num>
  <w:num w:numId="6" w16cid:durableId="2033609115">
    <w:abstractNumId w:val="8"/>
  </w:num>
  <w:num w:numId="7" w16cid:durableId="1946427045">
    <w:abstractNumId w:val="12"/>
  </w:num>
  <w:num w:numId="8" w16cid:durableId="105203048">
    <w:abstractNumId w:val="17"/>
  </w:num>
  <w:num w:numId="9" w16cid:durableId="112603947">
    <w:abstractNumId w:val="14"/>
  </w:num>
  <w:num w:numId="10" w16cid:durableId="465975771">
    <w:abstractNumId w:val="13"/>
  </w:num>
  <w:num w:numId="11" w16cid:durableId="2118480454">
    <w:abstractNumId w:val="3"/>
  </w:num>
  <w:num w:numId="12" w16cid:durableId="252665883">
    <w:abstractNumId w:val="15"/>
  </w:num>
  <w:num w:numId="13" w16cid:durableId="306711630">
    <w:abstractNumId w:val="11"/>
  </w:num>
  <w:num w:numId="14" w16cid:durableId="997995475">
    <w:abstractNumId w:val="18"/>
  </w:num>
  <w:num w:numId="15" w16cid:durableId="1429428732">
    <w:abstractNumId w:val="16"/>
  </w:num>
  <w:num w:numId="16" w16cid:durableId="1699089686">
    <w:abstractNumId w:val="7"/>
  </w:num>
  <w:num w:numId="17" w16cid:durableId="38823932">
    <w:abstractNumId w:val="10"/>
  </w:num>
  <w:num w:numId="18" w16cid:durableId="1599097677">
    <w:abstractNumId w:val="9"/>
  </w:num>
  <w:num w:numId="19" w16cid:durableId="1452170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413F"/>
    <w:rsid w:val="00051A44"/>
    <w:rsid w:val="00062D03"/>
    <w:rsid w:val="00066B73"/>
    <w:rsid w:val="00072BD3"/>
    <w:rsid w:val="000941B4"/>
    <w:rsid w:val="000A05A9"/>
    <w:rsid w:val="000A251A"/>
    <w:rsid w:val="000A2CD0"/>
    <w:rsid w:val="000C7834"/>
    <w:rsid w:val="000D05D7"/>
    <w:rsid w:val="000D432A"/>
    <w:rsid w:val="000E7BB9"/>
    <w:rsid w:val="00100F4E"/>
    <w:rsid w:val="00120AB1"/>
    <w:rsid w:val="00135FB3"/>
    <w:rsid w:val="001361A7"/>
    <w:rsid w:val="00170959"/>
    <w:rsid w:val="001737A6"/>
    <w:rsid w:val="00183231"/>
    <w:rsid w:val="001A1E7E"/>
    <w:rsid w:val="001A6BD1"/>
    <w:rsid w:val="001B1206"/>
    <w:rsid w:val="001E2C93"/>
    <w:rsid w:val="001E4C1F"/>
    <w:rsid w:val="001F1D6E"/>
    <w:rsid w:val="00203D64"/>
    <w:rsid w:val="00206613"/>
    <w:rsid w:val="00240792"/>
    <w:rsid w:val="00283BAC"/>
    <w:rsid w:val="002951ED"/>
    <w:rsid w:val="002A37DB"/>
    <w:rsid w:val="002B3623"/>
    <w:rsid w:val="002C0077"/>
    <w:rsid w:val="002C50D6"/>
    <w:rsid w:val="002D13DB"/>
    <w:rsid w:val="002E7823"/>
    <w:rsid w:val="002F6F1F"/>
    <w:rsid w:val="002F76FE"/>
    <w:rsid w:val="00327C80"/>
    <w:rsid w:val="00345E20"/>
    <w:rsid w:val="00354866"/>
    <w:rsid w:val="0036160B"/>
    <w:rsid w:val="003725B4"/>
    <w:rsid w:val="003A044C"/>
    <w:rsid w:val="003A321F"/>
    <w:rsid w:val="003B40C9"/>
    <w:rsid w:val="003D6D50"/>
    <w:rsid w:val="003F1003"/>
    <w:rsid w:val="004044AA"/>
    <w:rsid w:val="00421D47"/>
    <w:rsid w:val="00440A65"/>
    <w:rsid w:val="00461424"/>
    <w:rsid w:val="004649AD"/>
    <w:rsid w:val="00466131"/>
    <w:rsid w:val="0047358F"/>
    <w:rsid w:val="00480531"/>
    <w:rsid w:val="00484765"/>
    <w:rsid w:val="00494928"/>
    <w:rsid w:val="004A1E72"/>
    <w:rsid w:val="004A70B3"/>
    <w:rsid w:val="004A7CEC"/>
    <w:rsid w:val="004B26A0"/>
    <w:rsid w:val="004B5A66"/>
    <w:rsid w:val="004B7A94"/>
    <w:rsid w:val="004C73F7"/>
    <w:rsid w:val="004D46A7"/>
    <w:rsid w:val="004E70D3"/>
    <w:rsid w:val="00502467"/>
    <w:rsid w:val="00504189"/>
    <w:rsid w:val="005130F3"/>
    <w:rsid w:val="00524FEA"/>
    <w:rsid w:val="00535DB1"/>
    <w:rsid w:val="00540B4F"/>
    <w:rsid w:val="00544E7D"/>
    <w:rsid w:val="00547B29"/>
    <w:rsid w:val="00552F16"/>
    <w:rsid w:val="00556541"/>
    <w:rsid w:val="00557AA3"/>
    <w:rsid w:val="00587A23"/>
    <w:rsid w:val="00592790"/>
    <w:rsid w:val="00595CC3"/>
    <w:rsid w:val="00601563"/>
    <w:rsid w:val="00603FD8"/>
    <w:rsid w:val="00607D1E"/>
    <w:rsid w:val="006431D3"/>
    <w:rsid w:val="006966F3"/>
    <w:rsid w:val="006A1A1E"/>
    <w:rsid w:val="006E7FB1"/>
    <w:rsid w:val="007079D8"/>
    <w:rsid w:val="00710F37"/>
    <w:rsid w:val="00722679"/>
    <w:rsid w:val="00733C96"/>
    <w:rsid w:val="007345D7"/>
    <w:rsid w:val="00741B9E"/>
    <w:rsid w:val="0075145D"/>
    <w:rsid w:val="00754C0E"/>
    <w:rsid w:val="00776C95"/>
    <w:rsid w:val="0078514E"/>
    <w:rsid w:val="00794246"/>
    <w:rsid w:val="007B5295"/>
    <w:rsid w:val="007C2F04"/>
    <w:rsid w:val="007C7CC5"/>
    <w:rsid w:val="008116A3"/>
    <w:rsid w:val="00820AE9"/>
    <w:rsid w:val="00834C67"/>
    <w:rsid w:val="0084264A"/>
    <w:rsid w:val="00866E45"/>
    <w:rsid w:val="00894FF1"/>
    <w:rsid w:val="008A1BEC"/>
    <w:rsid w:val="008A2B36"/>
    <w:rsid w:val="008A4D22"/>
    <w:rsid w:val="008B4179"/>
    <w:rsid w:val="008B7156"/>
    <w:rsid w:val="008D516A"/>
    <w:rsid w:val="008E6808"/>
    <w:rsid w:val="008F1C01"/>
    <w:rsid w:val="00914184"/>
    <w:rsid w:val="00914DF4"/>
    <w:rsid w:val="00917505"/>
    <w:rsid w:val="00950AFC"/>
    <w:rsid w:val="00967149"/>
    <w:rsid w:val="00976F01"/>
    <w:rsid w:val="00980B32"/>
    <w:rsid w:val="009B2615"/>
    <w:rsid w:val="009B7F94"/>
    <w:rsid w:val="009C0457"/>
    <w:rsid w:val="009D1362"/>
    <w:rsid w:val="009D1A3E"/>
    <w:rsid w:val="009D71E8"/>
    <w:rsid w:val="009E6FDD"/>
    <w:rsid w:val="009F066C"/>
    <w:rsid w:val="00A0557F"/>
    <w:rsid w:val="00A1633E"/>
    <w:rsid w:val="00A22A8A"/>
    <w:rsid w:val="00A22B8A"/>
    <w:rsid w:val="00A50681"/>
    <w:rsid w:val="00A55B3A"/>
    <w:rsid w:val="00A744DE"/>
    <w:rsid w:val="00A83F7E"/>
    <w:rsid w:val="00AC7E79"/>
    <w:rsid w:val="00AD38DF"/>
    <w:rsid w:val="00AE0025"/>
    <w:rsid w:val="00AE0354"/>
    <w:rsid w:val="00B030DB"/>
    <w:rsid w:val="00B124DF"/>
    <w:rsid w:val="00B85D5E"/>
    <w:rsid w:val="00BA112C"/>
    <w:rsid w:val="00BB114F"/>
    <w:rsid w:val="00BC114E"/>
    <w:rsid w:val="00BC6631"/>
    <w:rsid w:val="00C04ABA"/>
    <w:rsid w:val="00C05CBA"/>
    <w:rsid w:val="00C05F4B"/>
    <w:rsid w:val="00C17723"/>
    <w:rsid w:val="00C7368D"/>
    <w:rsid w:val="00C86924"/>
    <w:rsid w:val="00CC0D94"/>
    <w:rsid w:val="00CC1A29"/>
    <w:rsid w:val="00CE3632"/>
    <w:rsid w:val="00CF47FE"/>
    <w:rsid w:val="00D077AB"/>
    <w:rsid w:val="00D33FE5"/>
    <w:rsid w:val="00D50E3E"/>
    <w:rsid w:val="00D551F1"/>
    <w:rsid w:val="00D56294"/>
    <w:rsid w:val="00D6289B"/>
    <w:rsid w:val="00DB2CDB"/>
    <w:rsid w:val="00DC4AB7"/>
    <w:rsid w:val="00DD425D"/>
    <w:rsid w:val="00E07F57"/>
    <w:rsid w:val="00E27E75"/>
    <w:rsid w:val="00E54E1C"/>
    <w:rsid w:val="00E563AF"/>
    <w:rsid w:val="00E66558"/>
    <w:rsid w:val="00E678AA"/>
    <w:rsid w:val="00E765B1"/>
    <w:rsid w:val="00E912E3"/>
    <w:rsid w:val="00EB5AFD"/>
    <w:rsid w:val="00ED6D27"/>
    <w:rsid w:val="00EF3D5E"/>
    <w:rsid w:val="00F1399A"/>
    <w:rsid w:val="00F209FD"/>
    <w:rsid w:val="00F3059C"/>
    <w:rsid w:val="00F32113"/>
    <w:rsid w:val="00F60E70"/>
    <w:rsid w:val="00F67DBC"/>
    <w:rsid w:val="00F72323"/>
    <w:rsid w:val="00F76920"/>
    <w:rsid w:val="00FA54BA"/>
    <w:rsid w:val="00FB5325"/>
    <w:rsid w:val="00FC0C32"/>
    <w:rsid w:val="00FC6749"/>
    <w:rsid w:val="00FD19D6"/>
    <w:rsid w:val="00FD41EB"/>
    <w:rsid w:val="00FF7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59"/>
    <w:rsid w:val="000A05A9"/>
    <w:pPr>
      <w:autoSpaceDN/>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0A0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340766">
      <w:bodyDiv w:val="1"/>
      <w:marLeft w:val="0"/>
      <w:marRight w:val="0"/>
      <w:marTop w:val="0"/>
      <w:marBottom w:val="0"/>
      <w:divBdr>
        <w:top w:val="none" w:sz="0" w:space="0" w:color="auto"/>
        <w:left w:val="none" w:sz="0" w:space="0" w:color="auto"/>
        <w:bottom w:val="none" w:sz="0" w:space="0" w:color="auto"/>
        <w:right w:val="none" w:sz="0" w:space="0" w:color="auto"/>
      </w:divBdr>
      <w:divsChild>
        <w:div w:id="107628222">
          <w:marLeft w:val="0"/>
          <w:marRight w:val="4560"/>
          <w:marTop w:val="0"/>
          <w:marBottom w:val="0"/>
          <w:divBdr>
            <w:top w:val="single" w:sz="2" w:space="0" w:color="EEEEEE"/>
            <w:left w:val="single" w:sz="2" w:space="0" w:color="EEEEEE"/>
            <w:bottom w:val="single" w:sz="2" w:space="0" w:color="EEEEEE"/>
            <w:right w:val="single" w:sz="2" w:space="0" w:color="EEEEEE"/>
          </w:divBdr>
          <w:divsChild>
            <w:div w:id="884949670">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340007149">
          <w:marLeft w:val="4560"/>
          <w:marRight w:val="4560"/>
          <w:marTop w:val="0"/>
          <w:marBottom w:val="0"/>
          <w:divBdr>
            <w:top w:val="single" w:sz="2" w:space="0" w:color="EEEEEE"/>
            <w:left w:val="single" w:sz="2" w:space="0" w:color="EEEEEE"/>
            <w:bottom w:val="single" w:sz="2" w:space="0" w:color="EEEEEE"/>
            <w:right w:val="single" w:sz="2" w:space="0" w:color="EEEEEE"/>
          </w:divBdr>
          <w:divsChild>
            <w:div w:id="14423672">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402afb-3680-4d2a-9302-d9bfeb77c496" xsi:nil="true"/>
    <lcf76f155ced4ddcb4097134ff3c332f xmlns="9f863889-b1f7-401d-80cf-caba1b4e9ce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5A0770C1A2F64E9D75300B04D77D53" ma:contentTypeVersion="13" ma:contentTypeDescription="Create a new document." ma:contentTypeScope="" ma:versionID="262bad13bae6cf943401510fbfa2cc6f">
  <xsd:schema xmlns:xsd="http://www.w3.org/2001/XMLSchema" xmlns:xs="http://www.w3.org/2001/XMLSchema" xmlns:p="http://schemas.microsoft.com/office/2006/metadata/properties" xmlns:ns2="9f863889-b1f7-401d-80cf-caba1b4e9ce2" xmlns:ns3="21402afb-3680-4d2a-9302-d9bfeb77c496" targetNamespace="http://schemas.microsoft.com/office/2006/metadata/properties" ma:root="true" ma:fieldsID="e518f53a2fd754d65267436e6ea747cf" ns2:_="" ns3:_="">
    <xsd:import namespace="9f863889-b1f7-401d-80cf-caba1b4e9ce2"/>
    <xsd:import namespace="21402afb-3680-4d2a-9302-d9bfeb77c4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63889-b1f7-401d-80cf-caba1b4e9c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fc8895-57a8-4f5c-bf5b-674d4e696d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402afb-3680-4d2a-9302-d9bfeb77c4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05e3fb5-d0fe-4c24-a646-da065fa56118}" ma:internalName="TaxCatchAll" ma:showField="CatchAllData" ma:web="21402afb-3680-4d2a-9302-d9bfeb77c4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50CB41-5C82-4151-998C-E46661BE40E3}">
  <ds:schemaRefs>
    <ds:schemaRef ds:uri="http://schemas.microsoft.com/office/2006/metadata/properties"/>
    <ds:schemaRef ds:uri="http://schemas.microsoft.com/office/infopath/2007/PartnerControls"/>
    <ds:schemaRef ds:uri="21402afb-3680-4d2a-9302-d9bfeb77c496"/>
    <ds:schemaRef ds:uri="9f863889-b1f7-401d-80cf-caba1b4e9ce2"/>
  </ds:schemaRefs>
</ds:datastoreItem>
</file>

<file path=customXml/itemProps2.xml><?xml version="1.0" encoding="utf-8"?>
<ds:datastoreItem xmlns:ds="http://schemas.openxmlformats.org/officeDocument/2006/customXml" ds:itemID="{A9020EF0-8889-476E-B256-25A4ACAC9F56}">
  <ds:schemaRefs>
    <ds:schemaRef ds:uri="http://schemas.microsoft.com/sharepoint/v3/contenttype/forms"/>
  </ds:schemaRefs>
</ds:datastoreItem>
</file>

<file path=customXml/itemProps3.xml><?xml version="1.0" encoding="utf-8"?>
<ds:datastoreItem xmlns:ds="http://schemas.openxmlformats.org/officeDocument/2006/customXml" ds:itemID="{E7BD847C-EC30-44BC-924A-0EC11F330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63889-b1f7-401d-80cf-caba1b4e9ce2"/>
    <ds:schemaRef ds:uri="21402afb-3680-4d2a-9302-d9bfeb77c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7</Pages>
  <Words>1948</Words>
  <Characters>11107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Janine Dix</cp:lastModifiedBy>
  <cp:revision>168</cp:revision>
  <cp:lastPrinted>2021-09-23T21:59:00Z</cp:lastPrinted>
  <dcterms:created xsi:type="dcterms:W3CDTF">2022-09-19T09:54:00Z</dcterms:created>
  <dcterms:modified xsi:type="dcterms:W3CDTF">2023-02-03T00:12:00Z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0x010100AE5A0770C1A2F64E9D75300B04D77D53</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